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192"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192"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192"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001-40470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w:t>
      </w:r>
    </w:p>
    <w:p>
      <w:pPr>
        <w:pStyle w:val="TextBody"/>
        <w:bidi w:val="0"/>
        <w:spacing w:before="0" w:after="0"/>
        <w:jc w:val="center"/>
        <w:rPr/>
      </w:pPr>
      <w:r>
        <w:rPr/>
        <w:drawing>
          <wp:inline distT="0" distB="0" distL="0" distR="0">
            <wp:extent cx="10287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3810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____________________________________________________________________________________________________________</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86-2098312</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Two American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Greenwich,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06831</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(203) 489-1287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GXO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3.750%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GXO/30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 2026, there were 114,684,579 shares of the registrant’s common stock,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55"/>
        <w:gridCol w:w="2414"/>
        <w:gridCol w:w="2402"/>
        <w:gridCol w:w="409"/>
        <w:gridCol w:w="409"/>
        <w:gridCol w:w="409"/>
        <w:gridCol w:w="417"/>
        <w:gridCol w:w="409"/>
        <w:gridCol w:w="581"/>
      </w:tblGrid>
      <w:tr>
        <w:trPr/>
        <w:tc>
          <w:tcPr>
            <w:tcW w:w="2755"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 10-Q</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0">
              <w:r>
                <w:rPr>
                  <w:rStyle w:val="InternetLink"/>
                  <w:rFonts w:ascii="Times New Roman;serif" w:hAnsi="Times New Roman;serif"/>
                  <w:b/>
                  <w:color w:val="000080"/>
                  <w:sz w:val="20"/>
                  <w:u w:val="single"/>
                </w:rPr>
                <w:t>Part I</w:t>
              </w:r>
            </w:hyperlink>
            <w:r>
              <w:rPr>
                <w:rFonts w:ascii="Times New Roman;serif" w:hAnsi="Times New Roman;serif"/>
                <w:b/>
                <w:color w:val="3051F2"/>
                <w:sz w:val="20"/>
                <w:u w:val="single"/>
              </w:rPr>
              <w:t>—</w:t>
            </w:r>
            <w:hyperlink w:anchor="iac4f9a542cac4486874236d9801d2e0e_10">
              <w:r>
                <w:rPr>
                  <w:rStyle w:val="InternetLink"/>
                  <w:rFonts w:ascii="Times New Roman;serif" w:hAnsi="Times New Roman;serif"/>
                  <w:b/>
                  <w:color w:val="000080"/>
                  <w:sz w:val="20"/>
                  <w:u w:val="single"/>
                </w:rPr>
                <w:t>Financial Information</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3">
              <w:r>
                <w:rPr>
                  <w:rStyle w:val="InternetLink"/>
                  <w:rFonts w:ascii="Times New Roman;serif" w:hAnsi="Times New Roman;serif"/>
                  <w:b w:val="false"/>
                  <w:color w:val="0000FF"/>
                  <w:sz w:val="20"/>
                  <w:u w:val="single"/>
                </w:rPr>
                <w:t>Item 1. Financial Statements (Unaudited)</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3">
              <w:r>
                <w:rPr>
                  <w:rStyle w:val="InternetLink"/>
                  <w:rFonts w:ascii="Times New Roman;serif" w:hAnsi="Times New Roman;serif"/>
                  <w:b w:val="false"/>
                  <w:color w:val="0000FF"/>
                  <w:sz w:val="20"/>
                  <w:u w:val="single"/>
                </w:rPr>
                <w:t>2</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6">
              <w:r>
                <w:rPr>
                  <w:rStyle w:val="InternetLink"/>
                  <w:rFonts w:ascii="Times New Roman;serif" w:hAnsi="Times New Roman;serif"/>
                  <w:b w:val="false"/>
                  <w:color w:val="0000FF"/>
                  <w:sz w:val="20"/>
                  <w:u w:val="single"/>
                </w:rPr>
                <w:t>Condensed Consolidated Statements of Operations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6">
              <w:r>
                <w:rPr>
                  <w:rStyle w:val="InternetLink"/>
                  <w:rFonts w:ascii="Times New Roman;serif" w:hAnsi="Times New Roman;serif"/>
                  <w:b w:val="false"/>
                  <w:color w:val="0000FF"/>
                  <w:sz w:val="20"/>
                  <w:u w:val="single"/>
                </w:rPr>
                <w:t>2</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9">
              <w:r>
                <w:rPr>
                  <w:rStyle w:val="InternetLink"/>
                  <w:rFonts w:ascii="Times New Roman;serif" w:hAnsi="Times New Roman;serif"/>
                  <w:b w:val="false"/>
                  <w:color w:val="0000FF"/>
                  <w:sz w:val="20"/>
                  <w:u w:val="single"/>
                </w:rPr>
                <w:t>Condensed Consolidated Statements of Comprehensive Income</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9">
              <w:r>
                <w:rPr>
                  <w:rStyle w:val="InternetLink"/>
                  <w:rFonts w:ascii="Times New Roman;serif" w:hAnsi="Times New Roman;serif"/>
                  <w:b w:val="false"/>
                  <w:color w:val="0000FF"/>
                  <w:sz w:val="20"/>
                  <w:u w:val="single"/>
                </w:rPr>
                <w:t>3</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22">
              <w:r>
                <w:rPr>
                  <w:rStyle w:val="InternetLink"/>
                  <w:rFonts w:ascii="Times New Roman;serif" w:hAnsi="Times New Roman;serif"/>
                  <w:b w:val="false"/>
                  <w:color w:val="0000FF"/>
                  <w:sz w:val="20"/>
                  <w:u w:val="single"/>
                </w:rPr>
                <w:t>Condensed Consolidated Balance Sheets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22">
              <w:r>
                <w:rPr>
                  <w:rStyle w:val="InternetLink"/>
                  <w:rFonts w:ascii="Times New Roman;serif" w:hAnsi="Times New Roman;serif"/>
                  <w:b w:val="false"/>
                  <w:color w:val="0000FF"/>
                  <w:sz w:val="20"/>
                  <w:u w:val="single"/>
                </w:rPr>
                <w:t>4</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28">
              <w:r>
                <w:rPr>
                  <w:rStyle w:val="InternetLink"/>
                  <w:rFonts w:ascii="Times New Roman;serif" w:hAnsi="Times New Roman;serif"/>
                  <w:b w:val="false"/>
                  <w:color w:val="0000FF"/>
                  <w:sz w:val="20"/>
                  <w:u w:val="single"/>
                </w:rPr>
                <w:t>Condensed Consolidated Statements of Cash Flows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28">
              <w:r>
                <w:rPr>
                  <w:rStyle w:val="InternetLink"/>
                  <w:rFonts w:ascii="Times New Roman;serif" w:hAnsi="Times New Roman;serif"/>
                  <w:b w:val="false"/>
                  <w:color w:val="0000FF"/>
                  <w:sz w:val="20"/>
                  <w:u w:val="single"/>
                </w:rPr>
                <w:t>5</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31">
              <w:r>
                <w:rPr>
                  <w:rStyle w:val="InternetLink"/>
                  <w:rFonts w:ascii="Times New Roman;serif" w:hAnsi="Times New Roman;serif"/>
                  <w:b w:val="false"/>
                  <w:color w:val="0000FF"/>
                  <w:sz w:val="20"/>
                  <w:u w:val="single"/>
                </w:rPr>
                <w:t>Condensed Consolidated Statements of Changes in Equity</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31">
              <w:r>
                <w:rPr>
                  <w:rStyle w:val="InternetLink"/>
                  <w:rFonts w:ascii="Times New Roman;serif" w:hAnsi="Times New Roman;serif"/>
                  <w:b w:val="false"/>
                  <w:color w:val="0000FF"/>
                  <w:sz w:val="20"/>
                  <w:u w:val="single"/>
                </w:rPr>
                <w:t>6</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37">
              <w:r>
                <w:rPr>
                  <w:rStyle w:val="InternetLink"/>
                  <w:rFonts w:ascii="Times New Roman;serif" w:hAnsi="Times New Roman;serif"/>
                  <w:b w:val="false"/>
                  <w:color w:val="0000FF"/>
                  <w:sz w:val="20"/>
                  <w:u w:val="single"/>
                </w:rPr>
                <w:t>Notes to Condensed Consolidated Financial Statements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37">
              <w:r>
                <w:rPr>
                  <w:rStyle w:val="InternetLink"/>
                  <w:rFonts w:ascii="Times New Roman;serif" w:hAnsi="Times New Roman;serif"/>
                  <w:b w:val="false"/>
                  <w:color w:val="0000FF"/>
                  <w:sz w:val="20"/>
                  <w:u w:val="single"/>
                </w:rPr>
                <w:t>8</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88">
              <w:r>
                <w:rPr>
                  <w:rStyle w:val="InternetLink"/>
                  <w:rFonts w:ascii="Times New Roman;serif" w:hAnsi="Times New Roman;serif"/>
                  <w:b w:val="false"/>
                  <w:color w:val="0000FF"/>
                  <w:sz w:val="20"/>
                  <w:u w:val="single"/>
                </w:rPr>
                <w:t>21</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12">
              <w:r>
                <w:rPr>
                  <w:rStyle w:val="InternetLink"/>
                  <w:rFonts w:ascii="Times New Roman;serif" w:hAnsi="Times New Roman;serif"/>
                  <w:b w:val="false"/>
                  <w:color w:val="0000FF"/>
                  <w:sz w:val="20"/>
                  <w:u w:val="single"/>
                </w:rPr>
                <w:t>Item 3. Quantitative and Qualitative Disclosures About Market Risk</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12">
              <w:r>
                <w:rPr>
                  <w:rStyle w:val="InternetLink"/>
                  <w:rFonts w:ascii="Times New Roman;serif" w:hAnsi="Times New Roman;serif"/>
                  <w:b w:val="false"/>
                  <w:color w:val="0000FF"/>
                  <w:sz w:val="20"/>
                  <w:u w:val="single"/>
                </w:rPr>
                <w:t>30</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15">
              <w:r>
                <w:rPr>
                  <w:rStyle w:val="InternetLink"/>
                  <w:rFonts w:ascii="Times New Roman;serif" w:hAnsi="Times New Roman;serif"/>
                  <w:b w:val="false"/>
                  <w:color w:val="0000FF"/>
                  <w:sz w:val="20"/>
                  <w:u w:val="single"/>
                </w:rPr>
                <w:t>Item 4. Controls and Procedures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15">
              <w:r>
                <w:rPr>
                  <w:rStyle w:val="InternetLink"/>
                  <w:rFonts w:ascii="Times New Roman;serif" w:hAnsi="Times New Roman;serif"/>
                  <w:b w:val="false"/>
                  <w:color w:val="0000FF"/>
                  <w:sz w:val="20"/>
                  <w:u w:val="single"/>
                </w:rPr>
                <w:t>30</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18">
              <w:r>
                <w:rPr>
                  <w:rStyle w:val="InternetLink"/>
                  <w:rFonts w:ascii="Times New Roman;serif" w:hAnsi="Times New Roman;serif"/>
                  <w:b/>
                  <w:color w:val="000080"/>
                  <w:sz w:val="20"/>
                  <w:u w:val="single"/>
                </w:rPr>
                <w:t>Part II</w:t>
              </w:r>
            </w:hyperlink>
            <w:r>
              <w:rPr>
                <w:rFonts w:ascii="Times New Roman;serif" w:hAnsi="Times New Roman;serif"/>
                <w:b/>
                <w:color w:val="3051F2"/>
                <w:sz w:val="20"/>
                <w:u w:val="single"/>
              </w:rPr>
              <w:t>—</w:t>
            </w:r>
            <w:hyperlink w:anchor="iac4f9a542cac4486874236d9801d2e0e_118">
              <w:r>
                <w:rPr>
                  <w:rStyle w:val="InternetLink"/>
                  <w:rFonts w:ascii="Times New Roman;serif" w:hAnsi="Times New Roman;serif"/>
                  <w:b/>
                  <w:color w:val="000080"/>
                  <w:sz w:val="20"/>
                  <w:u w:val="single"/>
                </w:rPr>
                <w:t>Other Information</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21">
              <w:r>
                <w:rPr>
                  <w:rStyle w:val="InternetLink"/>
                  <w:rFonts w:ascii="Times New Roman;serif" w:hAnsi="Times New Roman;serif"/>
                  <w:b w:val="false"/>
                  <w:color w:val="0000FF"/>
                  <w:sz w:val="20"/>
                  <w:u w:val="single"/>
                </w:rPr>
                <w:t>Item 1. Legal Proceedings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21">
              <w:r>
                <w:rPr>
                  <w:rStyle w:val="InternetLink"/>
                  <w:rFonts w:ascii="Times New Roman;serif" w:hAnsi="Times New Roman;serif"/>
                  <w:b w:val="false"/>
                  <w:color w:val="0000FF"/>
                  <w:sz w:val="20"/>
                  <w:u w:val="single"/>
                </w:rPr>
                <w:t>31</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24">
              <w:r>
                <w:rPr>
                  <w:rStyle w:val="InternetLink"/>
                  <w:rFonts w:ascii="Times New Roman;serif" w:hAnsi="Times New Roman;serif"/>
                  <w:b w:val="false"/>
                  <w:color w:val="0000FF"/>
                  <w:sz w:val="20"/>
                  <w:u w:val="single"/>
                </w:rPr>
                <w:t>Item 1A. Risk Factors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24">
              <w:r>
                <w:rPr>
                  <w:rStyle w:val="InternetLink"/>
                  <w:rFonts w:ascii="Times New Roman;serif" w:hAnsi="Times New Roman;serif"/>
                  <w:b w:val="false"/>
                  <w:color w:val="0000FF"/>
                  <w:sz w:val="20"/>
                  <w:u w:val="single"/>
                </w:rPr>
                <w:t>31</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27">
              <w:r>
                <w:rPr>
                  <w:rStyle w:val="InternetLink"/>
                  <w:rFonts w:ascii="Times New Roman;serif" w:hAnsi="Times New Roman;serif"/>
                  <w:b w:val="false"/>
                  <w:color w:val="0000FF"/>
                  <w:sz w:val="20"/>
                  <w:u w:val="single"/>
                </w:rPr>
                <w:t>Item 2. Unregistered Sales of Equity Securities and Use of Proceeds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27">
              <w:r>
                <w:rPr>
                  <w:rStyle w:val="InternetLink"/>
                  <w:rFonts w:ascii="Times New Roman;serif" w:hAnsi="Times New Roman;serif"/>
                  <w:b w:val="false"/>
                  <w:color w:val="0000FF"/>
                  <w:sz w:val="20"/>
                  <w:u w:val="single"/>
                </w:rPr>
                <w:t>31</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30">
              <w:r>
                <w:rPr>
                  <w:rStyle w:val="InternetLink"/>
                  <w:rFonts w:ascii="Times New Roman;serif" w:hAnsi="Times New Roman;serif"/>
                  <w:b w:val="false"/>
                  <w:color w:val="0000FF"/>
                  <w:sz w:val="20"/>
                  <w:u w:val="single"/>
                </w:rPr>
                <w:t>Item 6. Exhibits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30">
              <w:r>
                <w:rPr>
                  <w:rStyle w:val="InternetLink"/>
                  <w:rFonts w:ascii="Times New Roman;serif" w:hAnsi="Times New Roman;serif"/>
                  <w:b w:val="false"/>
                  <w:color w:val="0000FF"/>
                  <w:sz w:val="20"/>
                  <w:u w:val="single"/>
                </w:rPr>
                <w:t>32</w:t>
              </w:r>
            </w:hyperlink>
          </w:p>
        </w:tc>
      </w:tr>
      <w:tr>
        <w:trPr/>
        <w:tc>
          <w:tcPr>
            <w:tcW w:w="7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f9a542cac4486874236d9801d2e0e_133">
              <w:r>
                <w:rPr>
                  <w:rStyle w:val="InternetLink"/>
                  <w:rFonts w:ascii="Times New Roman;serif" w:hAnsi="Times New Roman;serif"/>
                  <w:b w:val="false"/>
                  <w:color w:val="0000FF"/>
                  <w:sz w:val="20"/>
                  <w:u w:val="single"/>
                </w:rPr>
                <w:t>Signatures</w:t>
              </w:r>
            </w:hyperlink>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4f9a542cac4486874236d9801d2e0e_133">
              <w:r>
                <w:rPr>
                  <w:rStyle w:val="InternetLink"/>
                  <w:rFonts w:ascii="Times New Roman;serif" w:hAnsi="Times New Roman;serif"/>
                  <w:b w:val="false"/>
                  <w:color w:val="0000FF"/>
                  <w:sz w:val="20"/>
                  <w:u w:val="singl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42"/>
        <w:gridCol w:w="1392"/>
        <w:gridCol w:w="1398"/>
        <w:gridCol w:w="109"/>
        <w:gridCol w:w="109"/>
        <w:gridCol w:w="109"/>
        <w:gridCol w:w="235"/>
        <w:gridCol w:w="687"/>
        <w:gridCol w:w="121"/>
        <w:gridCol w:w="121"/>
        <w:gridCol w:w="121"/>
        <w:gridCol w:w="121"/>
        <w:gridCol w:w="235"/>
        <w:gridCol w:w="687"/>
        <w:gridCol w:w="121"/>
        <w:gridCol w:w="109"/>
        <w:gridCol w:w="109"/>
        <w:gridCol w:w="109"/>
        <w:gridCol w:w="222"/>
        <w:gridCol w:w="649"/>
        <w:gridCol w:w="114"/>
        <w:gridCol w:w="114"/>
        <w:gridCol w:w="114"/>
        <w:gridCol w:w="114"/>
        <w:gridCol w:w="222"/>
        <w:gridCol w:w="649"/>
        <w:gridCol w:w="172"/>
      </w:tblGrid>
      <w:tr>
        <w:trPr/>
        <w:tc>
          <w:tcPr>
            <w:tcW w:w="194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GXO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Earnings (loss)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used in computation of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115,013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114,862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w:t>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9874" w:type="dxa"/>
        <w:jc w:val="center"/>
        <w:tblInd w:w="0" w:type="dxa"/>
        <w:tblLayout w:type="fixed"/>
        <w:tblCellMar>
          <w:top w:w="28" w:type="dxa"/>
          <w:left w:w="28" w:type="dxa"/>
          <w:bottom w:w="28" w:type="dxa"/>
          <w:right w:w="28" w:type="dxa"/>
        </w:tblCellMar>
      </w:tblPr>
      <w:tblGrid>
        <w:gridCol w:w="1480"/>
        <w:gridCol w:w="1295"/>
        <w:gridCol w:w="1305"/>
        <w:gridCol w:w="109"/>
        <w:gridCol w:w="109"/>
        <w:gridCol w:w="109"/>
        <w:gridCol w:w="314"/>
        <w:gridCol w:w="537"/>
        <w:gridCol w:w="162"/>
        <w:gridCol w:w="162"/>
        <w:gridCol w:w="162"/>
        <w:gridCol w:w="162"/>
        <w:gridCol w:w="314"/>
        <w:gridCol w:w="693"/>
        <w:gridCol w:w="162"/>
        <w:gridCol w:w="109"/>
        <w:gridCol w:w="109"/>
        <w:gridCol w:w="109"/>
        <w:gridCol w:w="284"/>
        <w:gridCol w:w="486"/>
        <w:gridCol w:w="146"/>
        <w:gridCol w:w="146"/>
        <w:gridCol w:w="146"/>
        <w:gridCol w:w="146"/>
        <w:gridCol w:w="284"/>
        <w:gridCol w:w="627"/>
        <w:gridCol w:w="207"/>
      </w:tblGrid>
      <w:tr>
        <w:trPr/>
        <w:tc>
          <w:tcPr>
            <w:tcW w:w="148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GXO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71"/>
        <w:gridCol w:w="2306"/>
        <w:gridCol w:w="2316"/>
        <w:gridCol w:w="109"/>
        <w:gridCol w:w="109"/>
        <w:gridCol w:w="109"/>
        <w:gridCol w:w="196"/>
        <w:gridCol w:w="646"/>
        <w:gridCol w:w="109"/>
        <w:gridCol w:w="109"/>
        <w:gridCol w:w="109"/>
        <w:gridCol w:w="109"/>
        <w:gridCol w:w="235"/>
        <w:gridCol w:w="781"/>
        <w:gridCol w:w="191"/>
      </w:tblGrid>
      <w:tr>
        <w:trPr/>
        <w:tc>
          <w:tcPr>
            <w:tcW w:w="2771"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(Dollars in millions, shares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net of allowance of $14 and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3,288 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Property and equipment, net of accumulated depreciation of $2,208 and $2,126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$805 and $781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5,372 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$0.01 par value per share; 300,000 shares authorized, 120,458 and 119,868 shares issued and 114,770 and 114,512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Treasury stock, at cost; 5,688 and 5,356 shares,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$0.01 par value per share; 10,000 shares authorized, 0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 (“APIC”)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 (“AOCIL”)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stockholders’ equity before NCI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Total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12,262 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86"/>
        <w:gridCol w:w="2162"/>
        <w:gridCol w:w="2163"/>
        <w:gridCol w:w="109"/>
        <w:gridCol w:w="109"/>
        <w:gridCol w:w="109"/>
        <w:gridCol w:w="301"/>
        <w:gridCol w:w="667"/>
        <w:gridCol w:w="154"/>
        <w:gridCol w:w="135"/>
        <w:gridCol w:w="135"/>
        <w:gridCol w:w="135"/>
        <w:gridCol w:w="391"/>
        <w:gridCol w:w="859"/>
        <w:gridCol w:w="290"/>
      </w:tblGrid>
      <w:tr>
        <w:trPr/>
        <w:tc>
          <w:tcPr>
            <w:tcW w:w="248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9"/>
              </w:rPr>
            </w:pPr>
            <w:r>
              <w:rPr>
                <w:rFonts w:ascii="Times New Roman;serif" w:hAnsi="Times New Roman;serif"/>
                <w:b/>
                <w:color w:val="000000"/>
                <w:sz w:val="19"/>
              </w:rPr>
              <w:t xml:space="preserve">Six Months Ended June 30, </w:t>
            </w:r>
          </w:p>
        </w:tc>
      </w:tr>
      <w:tr>
        <w:trPr/>
        <w:tc>
          <w:tcPr>
            <w:tcW w:w="6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excise tax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obligations under factoring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bank overdraft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restricted 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restricted cash and cash equivalents, end of period</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liability related to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1064" w:type="dxa"/>
        <w:jc w:val="center"/>
        <w:tblInd w:w="0" w:type="dxa"/>
        <w:tblLayout w:type="fixed"/>
        <w:tblCellMar>
          <w:top w:w="28" w:type="dxa"/>
          <w:left w:w="28" w:type="dxa"/>
          <w:bottom w:w="28" w:type="dxa"/>
          <w:right w:w="28" w:type="dxa"/>
        </w:tblCellMar>
      </w:tblPr>
      <w:tblGrid>
        <w:gridCol w:w="682"/>
        <w:gridCol w:w="244"/>
        <w:gridCol w:w="245"/>
        <w:gridCol w:w="109"/>
        <w:gridCol w:w="109"/>
        <w:gridCol w:w="109"/>
        <w:gridCol w:w="368"/>
        <w:gridCol w:w="368"/>
        <w:gridCol w:w="171"/>
        <w:gridCol w:w="109"/>
        <w:gridCol w:w="109"/>
        <w:gridCol w:w="109"/>
        <w:gridCol w:w="204"/>
        <w:gridCol w:w="252"/>
        <w:gridCol w:w="115"/>
        <w:gridCol w:w="109"/>
        <w:gridCol w:w="109"/>
        <w:gridCol w:w="109"/>
        <w:gridCol w:w="196"/>
        <w:gridCol w:w="436"/>
        <w:gridCol w:w="109"/>
        <w:gridCol w:w="109"/>
        <w:gridCol w:w="109"/>
        <w:gridCol w:w="109"/>
        <w:gridCol w:w="196"/>
        <w:gridCol w:w="556"/>
        <w:gridCol w:w="109"/>
        <w:gridCol w:w="109"/>
        <w:gridCol w:w="109"/>
        <w:gridCol w:w="109"/>
        <w:gridCol w:w="196"/>
        <w:gridCol w:w="421"/>
        <w:gridCol w:w="109"/>
        <w:gridCol w:w="109"/>
        <w:gridCol w:w="109"/>
        <w:gridCol w:w="109"/>
        <w:gridCol w:w="196"/>
        <w:gridCol w:w="436"/>
        <w:gridCol w:w="109"/>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AOCIL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Before</w:t>
              <w:b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(Shares in thousands,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115,024 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 and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vesting of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114,770 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064" w:type="dxa"/>
        <w:jc w:val="center"/>
        <w:tblInd w:w="0" w:type="dxa"/>
        <w:tblLayout w:type="fixed"/>
        <w:tblCellMar>
          <w:top w:w="28" w:type="dxa"/>
          <w:left w:w="28" w:type="dxa"/>
          <w:bottom w:w="28" w:type="dxa"/>
          <w:right w:w="28" w:type="dxa"/>
        </w:tblCellMar>
      </w:tblPr>
      <w:tblGrid>
        <w:gridCol w:w="682"/>
        <w:gridCol w:w="244"/>
        <w:gridCol w:w="245"/>
        <w:gridCol w:w="109"/>
        <w:gridCol w:w="109"/>
        <w:gridCol w:w="109"/>
        <w:gridCol w:w="368"/>
        <w:gridCol w:w="368"/>
        <w:gridCol w:w="171"/>
        <w:gridCol w:w="109"/>
        <w:gridCol w:w="109"/>
        <w:gridCol w:w="109"/>
        <w:gridCol w:w="204"/>
        <w:gridCol w:w="252"/>
        <w:gridCol w:w="115"/>
        <w:gridCol w:w="109"/>
        <w:gridCol w:w="109"/>
        <w:gridCol w:w="109"/>
        <w:gridCol w:w="196"/>
        <w:gridCol w:w="436"/>
        <w:gridCol w:w="109"/>
        <w:gridCol w:w="109"/>
        <w:gridCol w:w="109"/>
        <w:gridCol w:w="109"/>
        <w:gridCol w:w="196"/>
        <w:gridCol w:w="556"/>
        <w:gridCol w:w="109"/>
        <w:gridCol w:w="109"/>
        <w:gridCol w:w="109"/>
        <w:gridCol w:w="109"/>
        <w:gridCol w:w="196"/>
        <w:gridCol w:w="421"/>
        <w:gridCol w:w="109"/>
        <w:gridCol w:w="109"/>
        <w:gridCol w:w="109"/>
        <w:gridCol w:w="109"/>
        <w:gridCol w:w="196"/>
        <w:gridCol w:w="436"/>
        <w:gridCol w:w="109"/>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AOCIL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Before</w:t>
              <w:b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(Shares in thousands,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stock plans and 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vesting of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114,770 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1064" w:type="dxa"/>
        <w:jc w:val="center"/>
        <w:tblInd w:w="0" w:type="dxa"/>
        <w:tblLayout w:type="fixed"/>
        <w:tblCellMar>
          <w:top w:w="28" w:type="dxa"/>
          <w:left w:w="28" w:type="dxa"/>
          <w:bottom w:w="28" w:type="dxa"/>
          <w:right w:w="28" w:type="dxa"/>
        </w:tblCellMar>
      </w:tblPr>
      <w:tblGrid>
        <w:gridCol w:w="682"/>
        <w:gridCol w:w="244"/>
        <w:gridCol w:w="245"/>
        <w:gridCol w:w="109"/>
        <w:gridCol w:w="109"/>
        <w:gridCol w:w="109"/>
        <w:gridCol w:w="368"/>
        <w:gridCol w:w="368"/>
        <w:gridCol w:w="171"/>
        <w:gridCol w:w="109"/>
        <w:gridCol w:w="109"/>
        <w:gridCol w:w="109"/>
        <w:gridCol w:w="204"/>
        <w:gridCol w:w="252"/>
        <w:gridCol w:w="115"/>
        <w:gridCol w:w="109"/>
        <w:gridCol w:w="109"/>
        <w:gridCol w:w="109"/>
        <w:gridCol w:w="196"/>
        <w:gridCol w:w="436"/>
        <w:gridCol w:w="109"/>
        <w:gridCol w:w="109"/>
        <w:gridCol w:w="109"/>
        <w:gridCol w:w="109"/>
        <w:gridCol w:w="196"/>
        <w:gridCol w:w="556"/>
        <w:gridCol w:w="109"/>
        <w:gridCol w:w="109"/>
        <w:gridCol w:w="109"/>
        <w:gridCol w:w="109"/>
        <w:gridCol w:w="196"/>
        <w:gridCol w:w="421"/>
        <w:gridCol w:w="109"/>
        <w:gridCol w:w="109"/>
        <w:gridCol w:w="109"/>
        <w:gridCol w:w="109"/>
        <w:gridCol w:w="196"/>
        <w:gridCol w:w="436"/>
        <w:gridCol w:w="109"/>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AOCIL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Before</w:t>
              <w:b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(Shares in thousands,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116,955 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stock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vesting of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114,452 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064" w:type="dxa"/>
        <w:jc w:val="center"/>
        <w:tblInd w:w="0" w:type="dxa"/>
        <w:tblLayout w:type="fixed"/>
        <w:tblCellMar>
          <w:top w:w="28" w:type="dxa"/>
          <w:left w:w="28" w:type="dxa"/>
          <w:bottom w:w="28" w:type="dxa"/>
          <w:right w:w="28" w:type="dxa"/>
        </w:tblCellMar>
      </w:tblPr>
      <w:tblGrid>
        <w:gridCol w:w="682"/>
        <w:gridCol w:w="244"/>
        <w:gridCol w:w="245"/>
        <w:gridCol w:w="109"/>
        <w:gridCol w:w="109"/>
        <w:gridCol w:w="109"/>
        <w:gridCol w:w="368"/>
        <w:gridCol w:w="368"/>
        <w:gridCol w:w="171"/>
        <w:gridCol w:w="109"/>
        <w:gridCol w:w="109"/>
        <w:gridCol w:w="109"/>
        <w:gridCol w:w="204"/>
        <w:gridCol w:w="252"/>
        <w:gridCol w:w="115"/>
        <w:gridCol w:w="109"/>
        <w:gridCol w:w="109"/>
        <w:gridCol w:w="109"/>
        <w:gridCol w:w="196"/>
        <w:gridCol w:w="436"/>
        <w:gridCol w:w="109"/>
        <w:gridCol w:w="109"/>
        <w:gridCol w:w="109"/>
        <w:gridCol w:w="109"/>
        <w:gridCol w:w="196"/>
        <w:gridCol w:w="556"/>
        <w:gridCol w:w="109"/>
        <w:gridCol w:w="109"/>
        <w:gridCol w:w="109"/>
        <w:gridCol w:w="109"/>
        <w:gridCol w:w="196"/>
        <w:gridCol w:w="421"/>
        <w:gridCol w:w="109"/>
        <w:gridCol w:w="109"/>
        <w:gridCol w:w="109"/>
        <w:gridCol w:w="109"/>
        <w:gridCol w:w="196"/>
        <w:gridCol w:w="436"/>
        <w:gridCol w:w="109"/>
        <w:gridCol w:w="109"/>
        <w:gridCol w:w="109"/>
        <w:gridCol w:w="109"/>
        <w:gridCol w:w="196"/>
        <w:gridCol w:w="556"/>
        <w:gridCol w:w="109"/>
        <w:gridCol w:w="109"/>
        <w:gridCol w:w="109"/>
        <w:gridCol w:w="109"/>
        <w:gridCol w:w="196"/>
        <w:gridCol w:w="331"/>
        <w:gridCol w:w="109"/>
        <w:gridCol w:w="109"/>
        <w:gridCol w:w="109"/>
        <w:gridCol w:w="109"/>
        <w:gridCol w:w="196"/>
        <w:gridCol w:w="556"/>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APIC</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AOCIL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Equity Before</w:t>
              <w:b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NCI</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(Shares in thousands,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stock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vesting of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114,452 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GXO Logistics, Inc. (“GXO” or the “Company”) have been prepared in accordance with generally accepted accounting principles in the United States of America (“GAAP”) for interim financial information and pursuant to the rules of the United States Securities and Exchange Commission (the “SEC”). Accordingly, they do not include all of the information and notes required by GAAP for complete financial statements. In the opinion of management, all adjustments (consisting of normal recurring accruals) considered necessary for a fair presentation have been included.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results for the interim periods are not necessarily indicative of the results that may be expected for the year ending December 31, 2026. The Company’s Condensed Consolidated Financial Statements include the accounts of GXO and its majority-owned subsidiaries and variable interest entities of which the Company is the primary beneficiary. The Company has eliminated intercompany accounts and transactions. The accompanying Condensed Consolidated Financial Statements and Notes thereto should be read in conjunction with the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presents its operations as one reportable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Accounting Pronouncements Issued But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This standard requires all public companies to disclose more detailed information about certain costs and expenses in the notes to the financial statements in interim and annual reporting periods. This standard is effective for annual reporting periods beginning after December 15, 2026, with early adoption permitted. The Company does not expect this standard to have a material impact on its results of operations, financial position or cash flows and is currently evaluating the impact of adopting this standard on its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Goodwill and Other- Internal-Use Software (Subtopic 350-40): Targeted Improvements to the Accounting for Internal-Use Software. The amendments in this update remove all references to prescriptive and sequential software development stages (referred to as “project stages”) throughout Subtopic 350-40. Therefore, an entity is required to start capitalizing software costs when certain capitalization criteria are met. The ASU also supersedes guidance on website development costs. The amendments are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this standard on its results of operations, financial position or cash flows, and the impact of adopting this standard on its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disaggregated by geographical area was as follows:</w:t>
      </w:r>
    </w:p>
    <w:tbl>
      <w:tblPr>
        <w:tblW w:w="7277" w:type="dxa"/>
        <w:jc w:val="center"/>
        <w:tblInd w:w="0" w:type="dxa"/>
        <w:tblLayout w:type="fixed"/>
        <w:tblCellMar>
          <w:top w:w="28" w:type="dxa"/>
          <w:left w:w="28" w:type="dxa"/>
          <w:bottom w:w="28" w:type="dxa"/>
          <w:right w:w="28" w:type="dxa"/>
        </w:tblCellMar>
      </w:tblPr>
      <w:tblGrid>
        <w:gridCol w:w="538"/>
        <w:gridCol w:w="471"/>
        <w:gridCol w:w="475"/>
        <w:gridCol w:w="109"/>
        <w:gridCol w:w="109"/>
        <w:gridCol w:w="109"/>
        <w:gridCol w:w="256"/>
        <w:gridCol w:w="748"/>
        <w:gridCol w:w="132"/>
        <w:gridCol w:w="132"/>
        <w:gridCol w:w="132"/>
        <w:gridCol w:w="132"/>
        <w:gridCol w:w="256"/>
        <w:gridCol w:w="748"/>
        <w:gridCol w:w="132"/>
        <w:gridCol w:w="109"/>
        <w:gridCol w:w="109"/>
        <w:gridCol w:w="109"/>
        <w:gridCol w:w="232"/>
        <w:gridCol w:w="679"/>
        <w:gridCol w:w="120"/>
        <w:gridCol w:w="120"/>
        <w:gridCol w:w="120"/>
        <w:gridCol w:w="120"/>
        <w:gridCol w:w="232"/>
        <w:gridCol w:w="679"/>
        <w:gridCol w:w="169"/>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revenue can also be disaggregated by various verticals, reflecting the customers’ principal industry. Revenue disaggregated by industry was as follows:</w:t>
      </w:r>
    </w:p>
    <w:tbl>
      <w:tblPr>
        <w:tblW w:w="9003" w:type="dxa"/>
        <w:jc w:val="center"/>
        <w:tblInd w:w="0" w:type="dxa"/>
        <w:tblLayout w:type="fixed"/>
        <w:tblCellMar>
          <w:top w:w="28" w:type="dxa"/>
          <w:left w:w="28" w:type="dxa"/>
          <w:bottom w:w="28" w:type="dxa"/>
          <w:right w:w="28" w:type="dxa"/>
        </w:tblCellMar>
      </w:tblPr>
      <w:tblGrid>
        <w:gridCol w:w="1162"/>
        <w:gridCol w:w="1018"/>
        <w:gridCol w:w="1030"/>
        <w:gridCol w:w="109"/>
        <w:gridCol w:w="109"/>
        <w:gridCol w:w="109"/>
        <w:gridCol w:w="256"/>
        <w:gridCol w:w="748"/>
        <w:gridCol w:w="132"/>
        <w:gridCol w:w="132"/>
        <w:gridCol w:w="132"/>
        <w:gridCol w:w="132"/>
        <w:gridCol w:w="256"/>
        <w:gridCol w:w="748"/>
        <w:gridCol w:w="132"/>
        <w:gridCol w:w="109"/>
        <w:gridCol w:w="109"/>
        <w:gridCol w:w="109"/>
        <w:gridCol w:w="232"/>
        <w:gridCol w:w="679"/>
        <w:gridCol w:w="120"/>
        <w:gridCol w:w="120"/>
        <w:gridCol w:w="120"/>
        <w:gridCol w:w="120"/>
        <w:gridCol w:w="232"/>
        <w:gridCol w:w="679"/>
        <w:gridCol w:w="169"/>
      </w:tblGrid>
      <w:tr>
        <w:trPr/>
        <w:tc>
          <w:tcPr>
            <w:tcW w:w="116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Omnichannel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consumer electronics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packaged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contract asset and contract liability balances from contracts with customers were as follows:</w:t>
      </w:r>
    </w:p>
    <w:tbl>
      <w:tblPr>
        <w:tblW w:w="6683" w:type="dxa"/>
        <w:jc w:val="center"/>
        <w:tblInd w:w="0" w:type="dxa"/>
        <w:tblLayout w:type="fixed"/>
        <w:tblCellMar>
          <w:top w:w="28" w:type="dxa"/>
          <w:left w:w="28" w:type="dxa"/>
          <w:bottom w:w="28" w:type="dxa"/>
          <w:right w:w="28" w:type="dxa"/>
        </w:tblCellMar>
      </w:tblPr>
      <w:tblGrid>
        <w:gridCol w:w="1403"/>
        <w:gridCol w:w="1228"/>
        <w:gridCol w:w="1239"/>
        <w:gridCol w:w="109"/>
        <w:gridCol w:w="109"/>
        <w:gridCol w:w="109"/>
        <w:gridCol w:w="217"/>
        <w:gridCol w:w="480"/>
        <w:gridCol w:w="112"/>
        <w:gridCol w:w="109"/>
        <w:gridCol w:w="109"/>
        <w:gridCol w:w="109"/>
        <w:gridCol w:w="342"/>
        <w:gridCol w:w="757"/>
        <w:gridCol w:w="251"/>
      </w:tblGrid>
      <w:tr>
        <w:trPr/>
        <w:tc>
          <w:tcPr>
            <w:tcW w:w="140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contract costs included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included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represent the Company’s obligation to transfer services to a customer for which the Company has received consideration, or the amount due from a customer before the related services have been transferred. Revenue recognized included in contract liabilities at the beginning of the period was as follows:</w:t>
      </w:r>
    </w:p>
    <w:p>
      <w:pPr>
        <w:pStyle w:val="TextBody"/>
        <w:bidi w:val="0"/>
        <w:spacing w:before="0" w:after="0"/>
        <w:jc w:val="left"/>
        <w:rPr/>
      </w:pPr>
      <w:r>
        <w:rPr/>
      </w:r>
    </w:p>
    <w:tbl>
      <w:tblPr>
        <w:tblW w:w="7574" w:type="dxa"/>
        <w:jc w:val="center"/>
        <w:tblInd w:w="0" w:type="dxa"/>
        <w:tblLayout w:type="fixed"/>
        <w:tblCellMar>
          <w:top w:w="28" w:type="dxa"/>
          <w:left w:w="28" w:type="dxa"/>
          <w:bottom w:w="28" w:type="dxa"/>
          <w:right w:w="28" w:type="dxa"/>
        </w:tblCellMar>
      </w:tblPr>
      <w:tblGrid>
        <w:gridCol w:w="647"/>
        <w:gridCol w:w="566"/>
        <w:gridCol w:w="571"/>
        <w:gridCol w:w="109"/>
        <w:gridCol w:w="109"/>
        <w:gridCol w:w="109"/>
        <w:gridCol w:w="333"/>
        <w:gridCol w:w="570"/>
        <w:gridCol w:w="172"/>
        <w:gridCol w:w="172"/>
        <w:gridCol w:w="172"/>
        <w:gridCol w:w="172"/>
        <w:gridCol w:w="333"/>
        <w:gridCol w:w="570"/>
        <w:gridCol w:w="172"/>
        <w:gridCol w:w="109"/>
        <w:gridCol w:w="109"/>
        <w:gridCol w:w="109"/>
        <w:gridCol w:w="268"/>
        <w:gridCol w:w="593"/>
        <w:gridCol w:w="138"/>
        <w:gridCol w:w="138"/>
        <w:gridCol w:w="138"/>
        <w:gridCol w:w="138"/>
        <w:gridCol w:w="268"/>
        <w:gridCol w:w="593"/>
        <w:gridCol w:w="196"/>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organized geographically into three operating segments: (i) Americas and Asia-Pacific, (ii) United Kingdom and Ireland, and (iii) Continental Europe. The Company’s reporting unit results are regularly provided to the Chief Operating Decision Maker (“CODM”). The CODM is our Chief Executive Officer, who assesses the Company’s performance and allocates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evaluates the Company’s performance and allocates resources primarily based on adjusted earnings before interest, taxes, depreciation and amortization, adjusted for transaction and integration costs, restructuring costs and other, regulatory matters, net loss on divestiture of business and unrealized gain/loss on foreign currency contracts (“Adjusted EBITDA”). The CODM uses Adjusted EBITDA to communicate performance targets to the segment managers, to allocate resources to the segments, and to monitor segment performance. Additionally, the CODM considers the performance of this measure against planned and forecasted amounts to make investing and resource allocation decisions. The actual results are used in assessing the performance of the Company and in establishing management’s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disclosure purposes, we aggregate these three operating segments into one reportable segment due to the similar nature of their operations and economic characteristics.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segment results were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07"/>
        <w:gridCol w:w="1402"/>
        <w:gridCol w:w="1412"/>
        <w:gridCol w:w="109"/>
        <w:gridCol w:w="109"/>
        <w:gridCol w:w="109"/>
        <w:gridCol w:w="255"/>
        <w:gridCol w:w="746"/>
        <w:gridCol w:w="131"/>
        <w:gridCol w:w="131"/>
        <w:gridCol w:w="131"/>
        <w:gridCol w:w="131"/>
        <w:gridCol w:w="255"/>
        <w:gridCol w:w="746"/>
        <w:gridCol w:w="131"/>
        <w:gridCol w:w="109"/>
        <w:gridCol w:w="109"/>
        <w:gridCol w:w="109"/>
        <w:gridCol w:w="231"/>
        <w:gridCol w:w="678"/>
        <w:gridCol w:w="119"/>
        <w:gridCol w:w="119"/>
        <w:gridCol w:w="119"/>
        <w:gridCol w:w="119"/>
        <w:gridCol w:w="231"/>
        <w:gridCol w:w="678"/>
        <w:gridCol w:w="179"/>
      </w:tblGrid>
      <w:tr>
        <w:trPr/>
        <w:tc>
          <w:tcPr>
            <w:tcW w:w="160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expenses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Unrealized (gain) loss on foreign currency contracts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Excludes unallocated corporate expenses.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Other income (expense), net, excluding unrealized (gain) loss on foreign currency contracts.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Included in Other income (expense), net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Corporate expenses include unallocated costs related to corporate functions such as salaries and benefits, rent, and professional fees, which are recorded in Selling, general and administrative expenses in the Condensed Consolidated Statements of Operations.</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operating and finance leases primarily for real estate and warehouse equipment. The Company determines whether an arrangement is a lease at inception and, if so, whether that lease meets the classification criteria for a finance or an operating lease at the commencement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cost recorded in the Condensed Consolidated Statements of Operations was as follows:</w:t>
      </w:r>
    </w:p>
    <w:p>
      <w:pPr>
        <w:pStyle w:val="TextBody"/>
        <w:bidi w:val="0"/>
        <w:spacing w:before="0" w:after="0"/>
        <w:jc w:val="left"/>
        <w:rPr/>
      </w:pPr>
      <w:r>
        <w:rPr/>
      </w:r>
    </w:p>
    <w:tbl>
      <w:tblPr>
        <w:tblW w:w="9165" w:type="dxa"/>
        <w:jc w:val="center"/>
        <w:tblInd w:w="0" w:type="dxa"/>
        <w:tblLayout w:type="fixed"/>
        <w:tblCellMar>
          <w:top w:w="28" w:type="dxa"/>
          <w:left w:w="28" w:type="dxa"/>
          <w:bottom w:w="28" w:type="dxa"/>
          <w:right w:w="28" w:type="dxa"/>
        </w:tblCellMar>
      </w:tblPr>
      <w:tblGrid>
        <w:gridCol w:w="1224"/>
        <w:gridCol w:w="1071"/>
        <w:gridCol w:w="1079"/>
        <w:gridCol w:w="109"/>
        <w:gridCol w:w="109"/>
        <w:gridCol w:w="109"/>
        <w:gridCol w:w="296"/>
        <w:gridCol w:w="655"/>
        <w:gridCol w:w="153"/>
        <w:gridCol w:w="153"/>
        <w:gridCol w:w="153"/>
        <w:gridCol w:w="153"/>
        <w:gridCol w:w="296"/>
        <w:gridCol w:w="655"/>
        <w:gridCol w:w="153"/>
        <w:gridCol w:w="109"/>
        <w:gridCol w:w="109"/>
        <w:gridCol w:w="109"/>
        <w:gridCol w:w="268"/>
        <w:gridCol w:w="593"/>
        <w:gridCol w:w="138"/>
        <w:gridCol w:w="138"/>
        <w:gridCol w:w="138"/>
        <w:gridCol w:w="138"/>
        <w:gridCol w:w="268"/>
        <w:gridCol w:w="593"/>
        <w:gridCol w:w="196"/>
      </w:tblGrid>
      <w:tr>
        <w:trPr/>
        <w:tc>
          <w:tcPr>
            <w:tcW w:w="122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the right-of-use assets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on the lease liabilities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Variable lease cost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Short-term lease cost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lease cost</w:t>
            </w:r>
            <w:r>
              <w:rPr>
                <w:rFonts w:ascii="Times New Roman;serif" w:hAnsi="Times New Roman;serif"/>
                <w:b/>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Operating, variable, short-term lease costs are primarily included in Direct operating expense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For the three and six months ended June 30, 2026, the Company recorded a net benefit of $4 million and $30 million, respectively, from a real estate transaction that resulted in an early termination of a lease.</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Amortization of right-of-use assets is included in Depreciation and amortization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Interest on the lease liabilities is included in Interest expense, net in the Condensed Consolidated Statements of Operations.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(5) Total lease cost excludes sublease income for all periods presented, as it was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Condensed Consolidated Balance Sheets related to leases:</w:t>
      </w:r>
    </w:p>
    <w:p>
      <w:pPr>
        <w:pStyle w:val="TextBody"/>
        <w:bidi w:val="0"/>
        <w:spacing w:before="0" w:after="0"/>
        <w:jc w:val="left"/>
        <w:rPr/>
      </w:pPr>
      <w:r>
        <w:rPr/>
      </w:r>
    </w:p>
    <w:tbl>
      <w:tblPr>
        <w:tblW w:w="6014" w:type="dxa"/>
        <w:jc w:val="center"/>
        <w:tblInd w:w="0" w:type="dxa"/>
        <w:tblLayout w:type="fixed"/>
        <w:tblCellMar>
          <w:top w:w="28" w:type="dxa"/>
          <w:left w:w="28" w:type="dxa"/>
          <w:bottom w:w="28" w:type="dxa"/>
          <w:right w:w="28" w:type="dxa"/>
        </w:tblCellMar>
      </w:tblPr>
      <w:tblGrid>
        <w:gridCol w:w="1114"/>
        <w:gridCol w:w="975"/>
        <w:gridCol w:w="985"/>
        <w:gridCol w:w="109"/>
        <w:gridCol w:w="109"/>
        <w:gridCol w:w="109"/>
        <w:gridCol w:w="211"/>
        <w:gridCol w:w="616"/>
        <w:gridCol w:w="109"/>
        <w:gridCol w:w="109"/>
        <w:gridCol w:w="109"/>
        <w:gridCol w:w="109"/>
        <w:gridCol w:w="290"/>
        <w:gridCol w:w="847"/>
        <w:gridCol w:w="213"/>
      </w:tblGrid>
      <w:tr>
        <w:trPr/>
        <w:tc>
          <w:tcPr>
            <w:tcW w:w="11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p>
      <w:pPr>
        <w:pStyle w:val="TextBody"/>
        <w:bidi w:val="0"/>
        <w:spacing w:before="0" w:after="0"/>
        <w:jc w:val="left"/>
        <w:rPr/>
      </w:pPr>
      <w:r>
        <w:rPr/>
      </w:r>
    </w:p>
    <w:tbl>
      <w:tblPr>
        <w:tblW w:w="7957" w:type="dxa"/>
        <w:jc w:val="center"/>
        <w:tblInd w:w="0" w:type="dxa"/>
        <w:tblLayout w:type="fixed"/>
        <w:tblCellMar>
          <w:top w:w="28" w:type="dxa"/>
          <w:left w:w="28" w:type="dxa"/>
          <w:bottom w:w="28" w:type="dxa"/>
          <w:right w:w="28" w:type="dxa"/>
        </w:tblCellMar>
      </w:tblPr>
      <w:tblGrid>
        <w:gridCol w:w="1868"/>
        <w:gridCol w:w="1637"/>
        <w:gridCol w:w="1655"/>
        <w:gridCol w:w="109"/>
        <w:gridCol w:w="109"/>
        <w:gridCol w:w="109"/>
        <w:gridCol w:w="268"/>
        <w:gridCol w:w="593"/>
        <w:gridCol w:w="138"/>
        <w:gridCol w:w="138"/>
        <w:gridCol w:w="138"/>
        <w:gridCol w:w="138"/>
        <w:gridCol w:w="268"/>
        <w:gridCol w:w="593"/>
        <w:gridCol w:w="196"/>
      </w:tblGrid>
      <w:tr>
        <w:trPr/>
        <w:tc>
          <w:tcPr>
            <w:tcW w:w="186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for the six months ended June 30, 2026:</w:t>
      </w:r>
    </w:p>
    <w:tbl>
      <w:tblPr>
        <w:tblW w:w="4563" w:type="dxa"/>
        <w:jc w:val="center"/>
        <w:tblInd w:w="0" w:type="dxa"/>
        <w:tblLayout w:type="fixed"/>
        <w:tblCellMar>
          <w:top w:w="28" w:type="dxa"/>
          <w:left w:w="28" w:type="dxa"/>
          <w:bottom w:w="28" w:type="dxa"/>
          <w:right w:w="28" w:type="dxa"/>
        </w:tblCellMar>
      </w:tblPr>
      <w:tblGrid>
        <w:gridCol w:w="1178"/>
        <w:gridCol w:w="1033"/>
        <w:gridCol w:w="1044"/>
        <w:gridCol w:w="109"/>
        <w:gridCol w:w="109"/>
        <w:gridCol w:w="109"/>
        <w:gridCol w:w="211"/>
        <w:gridCol w:w="61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identifiable intangible assets subject to amortization:</w:t>
      </w:r>
    </w:p>
    <w:p>
      <w:pPr>
        <w:pStyle w:val="TextBody"/>
        <w:bidi w:val="0"/>
        <w:spacing w:before="0" w:after="0"/>
        <w:jc w:val="left"/>
        <w:rPr/>
      </w:pPr>
      <w:r>
        <w:rPr/>
      </w:r>
    </w:p>
    <w:tbl>
      <w:tblPr>
        <w:tblW w:w="10117" w:type="dxa"/>
        <w:jc w:val="center"/>
        <w:tblInd w:w="0" w:type="dxa"/>
        <w:tblLayout w:type="fixed"/>
        <w:tblCellMar>
          <w:top w:w="28" w:type="dxa"/>
          <w:left w:w="28" w:type="dxa"/>
          <w:bottom w:w="28" w:type="dxa"/>
          <w:right w:w="28" w:type="dxa"/>
        </w:tblCellMar>
      </w:tblPr>
      <w:tblGrid>
        <w:gridCol w:w="874"/>
        <w:gridCol w:w="765"/>
        <w:gridCol w:w="775"/>
        <w:gridCol w:w="109"/>
        <w:gridCol w:w="109"/>
        <w:gridCol w:w="109"/>
        <w:gridCol w:w="211"/>
        <w:gridCol w:w="616"/>
        <w:gridCol w:w="109"/>
        <w:gridCol w:w="109"/>
        <w:gridCol w:w="109"/>
        <w:gridCol w:w="109"/>
        <w:gridCol w:w="296"/>
        <w:gridCol w:w="676"/>
        <w:gridCol w:w="154"/>
        <w:gridCol w:w="109"/>
        <w:gridCol w:w="109"/>
        <w:gridCol w:w="109"/>
        <w:gridCol w:w="211"/>
        <w:gridCol w:w="466"/>
        <w:gridCol w:w="109"/>
        <w:gridCol w:w="109"/>
        <w:gridCol w:w="109"/>
        <w:gridCol w:w="109"/>
        <w:gridCol w:w="211"/>
        <w:gridCol w:w="616"/>
        <w:gridCol w:w="109"/>
        <w:gridCol w:w="109"/>
        <w:gridCol w:w="109"/>
        <w:gridCol w:w="109"/>
        <w:gridCol w:w="296"/>
        <w:gridCol w:w="676"/>
        <w:gridCol w:w="154"/>
        <w:gridCol w:w="109"/>
        <w:gridCol w:w="109"/>
        <w:gridCol w:w="109"/>
        <w:gridCol w:w="211"/>
        <w:gridCol w:w="46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w:t>
              <w:br/>
              <w:t>Value</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was $28 million and $30 million for the three months ended June 30, 2026 and June 30, 2025, respectively, and $57 million and $59 million for the six months ended June 30, 2026 and June 30,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 and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of the Company’s debt:</w:t>
      </w:r>
    </w:p>
    <w:tbl>
      <w:tblPr>
        <w:tblW w:w="8320" w:type="dxa"/>
        <w:jc w:val="center"/>
        <w:tblInd w:w="0" w:type="dxa"/>
        <w:tblLayout w:type="fixed"/>
        <w:tblCellMar>
          <w:top w:w="28" w:type="dxa"/>
          <w:left w:w="28" w:type="dxa"/>
          <w:bottom w:w="28" w:type="dxa"/>
          <w:right w:w="28" w:type="dxa"/>
        </w:tblCellMar>
      </w:tblPr>
      <w:tblGrid>
        <w:gridCol w:w="1519"/>
        <w:gridCol w:w="1336"/>
        <w:gridCol w:w="1344"/>
        <w:gridCol w:w="109"/>
        <w:gridCol w:w="109"/>
        <w:gridCol w:w="109"/>
        <w:gridCol w:w="255"/>
        <w:gridCol w:w="256"/>
        <w:gridCol w:w="343"/>
        <w:gridCol w:w="109"/>
        <w:gridCol w:w="109"/>
        <w:gridCol w:w="109"/>
        <w:gridCol w:w="211"/>
        <w:gridCol w:w="616"/>
        <w:gridCol w:w="109"/>
        <w:gridCol w:w="109"/>
        <w:gridCol w:w="109"/>
        <w:gridCol w:w="109"/>
        <w:gridCol w:w="290"/>
        <w:gridCol w:w="847"/>
        <w:gridCol w:w="213"/>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Unsecured notes due 2029</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Unsecured notes due 2031</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Unsecured notes due 2034</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Euro unsecured notes due 2030 (€500 principal)</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Five-Year Term Loan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Current debt</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Interest rate as of June 30, 2026.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Net of unamortized discount and debt issuance costs of $5 million and $6 million as of June 30, 2026 and December 31, 2025, respectively.</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Net of unamortized discount and debt issuance costs of $2 million as of June 30, 2026 and December 31, 2025.</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Net of unamortized discount and debt issuance costs of $9 million as of June 30, 2026 and December 31, 2025.</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(5) Net of unamortized discount and debt issuance costs of $6 million and $7 million as of June 30, 2026 and December 31, 2025, respectively.</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(6) As of June 2026, current debt includes $400 million unsecured notes due in July 2026 and $275 million five-year term loan due in May 2027. As of December 31, 2025, current debt includes $400 million unsecured notes due in July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Repayments of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maturity in July 2026, the Company repaid $400 million of unsecured notes using cash on 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five-year unsecured, multicurrency revolving credit facility expiring in 2029 (the “Revolving Credit Agreement”). The aggregate commitment of all lenders under the Revolving Credit Agreement is equal to $800 million, of which $100 million is available for the issuance of letters of credit. As of June 30, 2026 and December 31, 2025, no amounts were outstanding, and letters of credit were $7 million and $6 million, respectively, under the Revolving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facilities maturing in three months or less are presented net in the Condensed Consolidated Statement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Covenants and Compliance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covenants for the Company’s debt securities, which are customary for financings of this type, limit the Company’s ability to incur indebtedness and grant liens, among other restrictions. In addition, the facilities require the Company to maintain a consolidated leverage ratio below a specified maximum. As of June 30, 2026, the Company complied with the covenants contained in its debt and financing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Factoring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sells certain of its trade receivables on a non-recourse basis to third-party financial institutions under various factoring agreements. Information related to the trade receivables sold under the factoring agreements was as follows:</w:t>
      </w:r>
    </w:p>
    <w:p>
      <w:pPr>
        <w:pStyle w:val="TextBody"/>
        <w:bidi w:val="0"/>
        <w:spacing w:before="0" w:after="0"/>
        <w:jc w:val="left"/>
        <w:rPr/>
      </w:pPr>
      <w:r>
        <w:rPr/>
      </w:r>
    </w:p>
    <w:tbl>
      <w:tblPr>
        <w:tblW w:w="8071" w:type="dxa"/>
        <w:jc w:val="center"/>
        <w:tblInd w:w="0" w:type="dxa"/>
        <w:tblLayout w:type="fixed"/>
        <w:tblCellMar>
          <w:top w:w="28" w:type="dxa"/>
          <w:left w:w="28" w:type="dxa"/>
          <w:bottom w:w="28" w:type="dxa"/>
          <w:right w:w="28" w:type="dxa"/>
        </w:tblCellMar>
      </w:tblPr>
      <w:tblGrid>
        <w:gridCol w:w="825"/>
        <w:gridCol w:w="722"/>
        <w:gridCol w:w="732"/>
        <w:gridCol w:w="109"/>
        <w:gridCol w:w="109"/>
        <w:gridCol w:w="109"/>
        <w:gridCol w:w="296"/>
        <w:gridCol w:w="655"/>
        <w:gridCol w:w="153"/>
        <w:gridCol w:w="153"/>
        <w:gridCol w:w="153"/>
        <w:gridCol w:w="153"/>
        <w:gridCol w:w="296"/>
        <w:gridCol w:w="655"/>
        <w:gridCol w:w="153"/>
        <w:gridCol w:w="109"/>
        <w:gridCol w:w="109"/>
        <w:gridCol w:w="109"/>
        <w:gridCol w:w="232"/>
        <w:gridCol w:w="679"/>
        <w:gridCol w:w="120"/>
        <w:gridCol w:w="120"/>
        <w:gridCol w:w="120"/>
        <w:gridCol w:w="120"/>
        <w:gridCol w:w="232"/>
        <w:gridCol w:w="679"/>
        <w:gridCol w:w="169"/>
      </w:tblGrid>
      <w:tr>
        <w:trPr/>
        <w:tc>
          <w:tcPr>
            <w:tcW w:w="8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sold in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Fair Value Measurements and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levels of inputs used to measure fair value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1—Quoted prices for identical instruments in active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2—Quoted prices for similar instruments in active markets; quoted prices for identical or similar instruments in markets that are not active; and model-derived valuations in which all significant inputs are observable in active markets;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3—Valuations based on inputs that are unobservable, generally utilizing pricing models or other valuation techniques that reflect management’s judgment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bases its fair value estimates on market assumptions and available information. The carrying values of cash and cash equivalents, accounts receivable, accounts payable, accrued expenses and current maturities of long-term debt approximated their fair values as of June 30, 2026 and December 31, 2025, due to their short-term nature.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debt was    as follows:</w:t>
      </w:r>
    </w:p>
    <w:tbl>
      <w:tblPr>
        <w:tblW w:w="8234" w:type="dxa"/>
        <w:jc w:val="center"/>
        <w:tblInd w:w="0" w:type="dxa"/>
        <w:tblLayout w:type="fixed"/>
        <w:tblCellMar>
          <w:top w:w="28" w:type="dxa"/>
          <w:left w:w="28" w:type="dxa"/>
          <w:bottom w:w="28" w:type="dxa"/>
          <w:right w:w="28" w:type="dxa"/>
        </w:tblCellMar>
      </w:tblPr>
      <w:tblGrid>
        <w:gridCol w:w="968"/>
        <w:gridCol w:w="847"/>
        <w:gridCol w:w="854"/>
        <w:gridCol w:w="109"/>
        <w:gridCol w:w="109"/>
        <w:gridCol w:w="109"/>
        <w:gridCol w:w="170"/>
        <w:gridCol w:w="170"/>
        <w:gridCol w:w="171"/>
        <w:gridCol w:w="109"/>
        <w:gridCol w:w="109"/>
        <w:gridCol w:w="109"/>
        <w:gridCol w:w="211"/>
        <w:gridCol w:w="466"/>
        <w:gridCol w:w="109"/>
        <w:gridCol w:w="109"/>
        <w:gridCol w:w="109"/>
        <w:gridCol w:w="109"/>
        <w:gridCol w:w="241"/>
        <w:gridCol w:w="534"/>
        <w:gridCol w:w="126"/>
        <w:gridCol w:w="109"/>
        <w:gridCol w:w="109"/>
        <w:gridCol w:w="109"/>
        <w:gridCol w:w="211"/>
        <w:gridCol w:w="466"/>
        <w:gridCol w:w="109"/>
        <w:gridCol w:w="109"/>
        <w:gridCol w:w="109"/>
        <w:gridCol w:w="109"/>
        <w:gridCol w:w="240"/>
        <w:gridCol w:w="530"/>
        <w:gridCol w:w="176"/>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notes due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unsecured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Five-Year Term Loan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directly manages its exposure to risks arising from business operations and economic factors, including fluctuations in interest rates and foreign currencies. The Company uses derivative instruments to manage the volatility related to these exposures.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notional amount and fair value of derivative instruments were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71"/>
        <w:gridCol w:w="1192"/>
        <w:gridCol w:w="1200"/>
        <w:gridCol w:w="109"/>
        <w:gridCol w:w="109"/>
        <w:gridCol w:w="109"/>
        <w:gridCol w:w="206"/>
        <w:gridCol w:w="444"/>
        <w:gridCol w:w="116"/>
        <w:gridCol w:w="109"/>
        <w:gridCol w:w="109"/>
        <w:gridCol w:w="109"/>
        <w:gridCol w:w="196"/>
        <w:gridCol w:w="331"/>
        <w:gridCol w:w="109"/>
        <w:gridCol w:w="109"/>
        <w:gridCol w:w="109"/>
        <w:gridCol w:w="109"/>
        <w:gridCol w:w="206"/>
        <w:gridCol w:w="444"/>
        <w:gridCol w:w="116"/>
        <w:gridCol w:w="109"/>
        <w:gridCol w:w="109"/>
        <w:gridCol w:w="109"/>
        <w:gridCol w:w="196"/>
        <w:gridCol w:w="406"/>
        <w:gridCol w:w="109"/>
        <w:gridCol w:w="109"/>
        <w:gridCol w:w="109"/>
        <w:gridCol w:w="109"/>
        <w:gridCol w:w="565"/>
        <w:gridCol w:w="564"/>
        <w:gridCol w:w="799"/>
      </w:tblGrid>
      <w:tr>
        <w:trPr/>
        <w:tc>
          <w:tcPr>
            <w:tcW w:w="137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r>
      <w:tr>
        <w:trPr/>
        <w:tc>
          <w:tcPr>
            <w:tcW w:w="3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Derivatives designated as 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option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option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r>
        <w:trPr/>
        <w:tc>
          <w:tcPr>
            <w:tcW w:w="3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r>
      <w:tr>
        <w:trPr/>
        <w:tc>
          <w:tcPr>
            <w:tcW w:w="3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derivatives were classified as Level 2 within the fair value hierarchy. The derivatives are valued using inputs other than quoted prices such as foreign exchange rates and yield curves.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 of hedges on AOCIL and in the Condensed Consolidated Statements of Operations was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2"/>
        <w:gridCol w:w="360"/>
        <w:gridCol w:w="292"/>
        <w:gridCol w:w="109"/>
        <w:gridCol w:w="109"/>
        <w:gridCol w:w="109"/>
        <w:gridCol w:w="498"/>
        <w:gridCol w:w="605"/>
        <w:gridCol w:w="258"/>
        <w:gridCol w:w="109"/>
        <w:gridCol w:w="109"/>
        <w:gridCol w:w="109"/>
        <w:gridCol w:w="297"/>
        <w:gridCol w:w="361"/>
        <w:gridCol w:w="155"/>
        <w:gridCol w:w="109"/>
        <w:gridCol w:w="109"/>
        <w:gridCol w:w="109"/>
        <w:gridCol w:w="450"/>
        <w:gridCol w:w="546"/>
        <w:gridCol w:w="233"/>
        <w:gridCol w:w="109"/>
        <w:gridCol w:w="109"/>
        <w:gridCol w:w="109"/>
        <w:gridCol w:w="421"/>
        <w:gridCol w:w="722"/>
        <w:gridCol w:w="219"/>
        <w:gridCol w:w="109"/>
        <w:gridCol w:w="109"/>
        <w:gridCol w:w="109"/>
        <w:gridCol w:w="242"/>
        <w:gridCol w:w="466"/>
        <w:gridCol w:w="125"/>
        <w:gridCol w:w="109"/>
        <w:gridCol w:w="109"/>
        <w:gridCol w:w="109"/>
        <w:gridCol w:w="432"/>
        <w:gridCol w:w="524"/>
        <w:gridCol w:w="335"/>
      </w:tblGrid>
      <w:tr>
        <w:trPr/>
        <w:tc>
          <w:tcPr>
            <w:tcW w:w="7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Reclassified from AOCIL into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Recognized in Net Income on Derivative (Excluded from effectiveness 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Reclassified from AOCIL into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Recognized in Net Income on Derivative (Excluded from effectiveness testing)</w:t>
            </w:r>
          </w:p>
        </w:tc>
      </w:tr>
      <w:tr>
        <w:trPr/>
        <w:tc>
          <w:tcPr>
            <w:tcW w:w="1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Cross-currency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Interest rate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Cross-currency swaps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reclassified to Net income are reported in Interest expense, net in the Condensed Consolidated Statements of Operations.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Amounts reclassified to Net income are reported in Other income, net in the Condensed Consolidated Statements of Operations.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2"/>
        <w:gridCol w:w="360"/>
        <w:gridCol w:w="293"/>
        <w:gridCol w:w="109"/>
        <w:gridCol w:w="109"/>
        <w:gridCol w:w="109"/>
        <w:gridCol w:w="358"/>
        <w:gridCol w:w="818"/>
        <w:gridCol w:w="186"/>
        <w:gridCol w:w="109"/>
        <w:gridCol w:w="109"/>
        <w:gridCol w:w="109"/>
        <w:gridCol w:w="242"/>
        <w:gridCol w:w="466"/>
        <w:gridCol w:w="125"/>
        <w:gridCol w:w="109"/>
        <w:gridCol w:w="109"/>
        <w:gridCol w:w="109"/>
        <w:gridCol w:w="451"/>
        <w:gridCol w:w="547"/>
        <w:gridCol w:w="233"/>
        <w:gridCol w:w="109"/>
        <w:gridCol w:w="109"/>
        <w:gridCol w:w="109"/>
        <w:gridCol w:w="358"/>
        <w:gridCol w:w="818"/>
        <w:gridCol w:w="186"/>
        <w:gridCol w:w="109"/>
        <w:gridCol w:w="109"/>
        <w:gridCol w:w="109"/>
        <w:gridCol w:w="290"/>
        <w:gridCol w:w="373"/>
        <w:gridCol w:w="151"/>
        <w:gridCol w:w="109"/>
        <w:gridCol w:w="109"/>
        <w:gridCol w:w="109"/>
        <w:gridCol w:w="433"/>
        <w:gridCol w:w="525"/>
        <w:gridCol w:w="328"/>
      </w:tblGrid>
      <w:tr>
        <w:trPr/>
        <w:tc>
          <w:tcPr>
            <w:tcW w:w="7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Reclassified from AOCIL into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Recognized in Net Income on Derivative (Excluded from effectiveness 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Other Comprehensive Income on Derivative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Reclassified from AOCIL into 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Recognized in Net Income on Derivative (Excluded from effectiveness testing)</w:t>
            </w:r>
          </w:p>
        </w:tc>
      </w:tr>
      <w:tr>
        <w:trPr/>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Cross-currency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Interest rate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Amounts reclassified to Net income are reported in Interest expense, net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Derivatives Not Designated as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recognized in Other income (expense), net in the Condensed Consolidated Statements of Operations for foreign currency options and forward contracts were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0"/>
        <w:gridCol w:w="1440"/>
        <w:gridCol w:w="1452"/>
        <w:gridCol w:w="109"/>
        <w:gridCol w:w="109"/>
        <w:gridCol w:w="109"/>
        <w:gridCol w:w="352"/>
        <w:gridCol w:w="428"/>
        <w:gridCol w:w="181"/>
        <w:gridCol w:w="181"/>
        <w:gridCol w:w="181"/>
        <w:gridCol w:w="181"/>
        <w:gridCol w:w="352"/>
        <w:gridCol w:w="548"/>
        <w:gridCol w:w="181"/>
        <w:gridCol w:w="109"/>
        <w:gridCol w:w="109"/>
        <w:gridCol w:w="109"/>
        <w:gridCol w:w="299"/>
        <w:gridCol w:w="363"/>
        <w:gridCol w:w="154"/>
        <w:gridCol w:w="154"/>
        <w:gridCol w:w="154"/>
        <w:gridCol w:w="154"/>
        <w:gridCol w:w="299"/>
        <w:gridCol w:w="616"/>
        <w:gridCol w:w="231"/>
      </w:tblGrid>
      <w:tr>
        <w:trPr/>
        <w:tc>
          <w:tcPr>
            <w:tcW w:w="165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5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Restructuring Costs and Other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 primarily consisted of severance paid to exiting members of the Company’s leadership team and to individuals as part of an initiative to optimize corporate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restructuring liability, which is included in Accrued expenses and Other long-term liabilities in the Condensed Consolidated Balance Sheets.</w:t>
      </w:r>
    </w:p>
    <w:p>
      <w:pPr>
        <w:pStyle w:val="TextBody"/>
        <w:bidi w:val="0"/>
        <w:spacing w:before="0" w:after="0"/>
        <w:jc w:val="left"/>
        <w:rPr/>
      </w:pPr>
      <w:r>
        <w:rPr/>
      </w:r>
    </w:p>
    <w:tbl>
      <w:tblPr>
        <w:tblW w:w="3962" w:type="dxa"/>
        <w:jc w:val="center"/>
        <w:tblInd w:w="0" w:type="dxa"/>
        <w:tblLayout w:type="fixed"/>
        <w:tblCellMar>
          <w:top w:w="28" w:type="dxa"/>
          <w:left w:w="28" w:type="dxa"/>
          <w:bottom w:w="28" w:type="dxa"/>
          <w:right w:w="28" w:type="dxa"/>
        </w:tblCellMar>
      </w:tblPr>
      <w:tblGrid>
        <w:gridCol w:w="1051"/>
        <w:gridCol w:w="923"/>
        <w:gridCol w:w="935"/>
        <w:gridCol w:w="109"/>
        <w:gridCol w:w="109"/>
        <w:gridCol w:w="109"/>
        <w:gridCol w:w="211"/>
        <w:gridCol w:w="361"/>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$8 million of the restructuring liability is expected to be paid in the next 12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Divestiture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2024, the Company completed the acquisition of Wincanton plc (now Wincanton Limited) (the “Wincanton Acquisition”). The Wincanton Acquisition was subject to review by the U.K. Competition and Markets Authority (the “CMA”). In 2025, the CMA approved the Wincanton Acquisition, subject to the divestment of certain grocery contracts in the U.K. (the “Wincanton Divestment”).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the Company met the held-for-sale criteria for the anticipated Wincanton Divestment and recorded a $37 million write-down loss, including $4 million of goodwill, $21 million of customer relationships, and a $12 million fair value adjustment. For the three and six months ended June 30, 2026, the Company recorded $2 million and $23 million, respectively, as an additional impairment due to a further reduction in estimated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and liabilities held for sale were not material as of June 30, 2026 and December 31, 2025, and are included in Other current assets and Other current liabilities, respectively, in the Condensed Consolidated Balance Sheets. The Company expects to complete the Wincanton Divestment before the end of the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Employee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Defined Benefit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offers pension plans in certain jurisdictions, with the most significant in the U.K. In the U.K., the Company sponsors two defined benefit pension schemes (the “U.K. Retirement Plans”). The U.K. Retirement Plans do not allow for new plan participants or additional benefit accruals. The funded status of the U.K. Retirement Plans was recorded in Other long-term assets in the Condensed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its other defined benefit pension plans not material to its Consolidated Financial Statements and excludes them from the disclosure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Components of the net periodic benefit income recognized under the U.K. Retirement Plans were as follows:</w:t>
      </w:r>
    </w:p>
    <w:p>
      <w:pPr>
        <w:pStyle w:val="TextBody"/>
        <w:bidi w:val="0"/>
        <w:spacing w:before="0" w:after="0"/>
        <w:jc w:val="left"/>
        <w:rPr/>
      </w:pPr>
      <w:r>
        <w:rPr/>
      </w:r>
    </w:p>
    <w:tbl>
      <w:tblPr>
        <w:tblW w:w="8466" w:type="dxa"/>
        <w:jc w:val="center"/>
        <w:tblInd w:w="0" w:type="dxa"/>
        <w:tblLayout w:type="fixed"/>
        <w:tblCellMar>
          <w:top w:w="28" w:type="dxa"/>
          <w:left w:w="28" w:type="dxa"/>
          <w:bottom w:w="28" w:type="dxa"/>
          <w:right w:w="28" w:type="dxa"/>
        </w:tblCellMar>
      </w:tblPr>
      <w:tblGrid>
        <w:gridCol w:w="968"/>
        <w:gridCol w:w="847"/>
        <w:gridCol w:w="855"/>
        <w:gridCol w:w="109"/>
        <w:gridCol w:w="109"/>
        <w:gridCol w:w="109"/>
        <w:gridCol w:w="306"/>
        <w:gridCol w:w="633"/>
        <w:gridCol w:w="158"/>
        <w:gridCol w:w="158"/>
        <w:gridCol w:w="158"/>
        <w:gridCol w:w="158"/>
        <w:gridCol w:w="306"/>
        <w:gridCol w:w="633"/>
        <w:gridCol w:w="158"/>
        <w:gridCol w:w="109"/>
        <w:gridCol w:w="109"/>
        <w:gridCol w:w="109"/>
        <w:gridCol w:w="277"/>
        <w:gridCol w:w="573"/>
        <w:gridCol w:w="143"/>
        <w:gridCol w:w="143"/>
        <w:gridCol w:w="143"/>
        <w:gridCol w:w="143"/>
        <w:gridCol w:w="277"/>
        <w:gridCol w:w="573"/>
        <w:gridCol w:w="202"/>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return 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periodic pension income</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Net periodic pension income was recorded in Other income (expense), net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Also, the Company has defined-contribution retirement plans for its United States employees and employees of certain foreign subsidiaries. In these plans, employees are allowed to contribute a portion of their salaries and bonuses to the plans, and the Company matches a portion of the employee contributions.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Defined contribution plan costs were as follows:</w:t>
      </w:r>
    </w:p>
    <w:p>
      <w:pPr>
        <w:pStyle w:val="TextBody"/>
        <w:bidi w:val="0"/>
        <w:spacing w:before="0" w:after="0"/>
        <w:jc w:val="left"/>
        <w:rPr/>
      </w:pPr>
      <w:r>
        <w:rPr/>
      </w:r>
    </w:p>
    <w:tbl>
      <w:tblPr>
        <w:tblW w:w="8266" w:type="dxa"/>
        <w:jc w:val="center"/>
        <w:tblInd w:w="0" w:type="dxa"/>
        <w:tblLayout w:type="fixed"/>
        <w:tblCellMar>
          <w:top w:w="28" w:type="dxa"/>
          <w:left w:w="28" w:type="dxa"/>
          <w:bottom w:w="28" w:type="dxa"/>
          <w:right w:w="28" w:type="dxa"/>
        </w:tblCellMar>
      </w:tblPr>
      <w:tblGrid>
        <w:gridCol w:w="896"/>
        <w:gridCol w:w="784"/>
        <w:gridCol w:w="795"/>
        <w:gridCol w:w="109"/>
        <w:gridCol w:w="109"/>
        <w:gridCol w:w="109"/>
        <w:gridCol w:w="333"/>
        <w:gridCol w:w="570"/>
        <w:gridCol w:w="172"/>
        <w:gridCol w:w="172"/>
        <w:gridCol w:w="172"/>
        <w:gridCol w:w="172"/>
        <w:gridCol w:w="333"/>
        <w:gridCol w:w="570"/>
        <w:gridCol w:w="172"/>
        <w:gridCol w:w="109"/>
        <w:gridCol w:w="109"/>
        <w:gridCol w:w="109"/>
        <w:gridCol w:w="301"/>
        <w:gridCol w:w="515"/>
        <w:gridCol w:w="155"/>
        <w:gridCol w:w="155"/>
        <w:gridCol w:w="155"/>
        <w:gridCol w:w="155"/>
        <w:gridCol w:w="301"/>
        <w:gridCol w:w="515"/>
        <w:gridCol w:w="219"/>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Defined contribution costs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Defined contribution plan costs were primarily recorded in Direct operating expense in the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was $33 million compared with $17 million for the six months ended June 30, 2025. The Company’s effective tax rate for the six months ended June 30, 2026 and June 30, 2025, was an expense on pre-tax income of 50.6% and an expense on pre-tax loss of (35.3)%, respectively. The change to the Company’s effective tax rate was primarily driven by an increase in pre-tax income, an increase in unrecognized tax benefits for the six months ended June 30, 2026, and a regulatory matter during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Repurchase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the Company’s board of directors authorized and announced a repurchase plan for up to $500 million of its common stock (the “Repurchase Plan”). The Repurchase Plan permits shares of common stock to be repurchased from time to time in management’s discretion, through a variety of methods, including a 10b5-1 trading plan, open market purchases, privately negotiated transactions or otherwise. The timing and number of shares of common stock repurchased will depend on a variety of factors, including price, general business and market conditions, alternative investment opportunities and funding considerations. The Repurchase Plan does not obligate the Company to repurchase any specific number of shares of common stock and may be suspended or discontinued at any time.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repurchase of shares of the Company’s common stock is recorded as treasury stock within equity and is accounted for under the cost method, inclusive of share repurchase costs and excise tax on share repurchases in excess of issuances. During the six months ended June 30, 2026 and June 30, 2025, the Company repurchased approximately 332 thousand and 5.4 million shares of its common stock for an aggregate purchase price of $16 million and $202 million, respectively, including share repurchase costs and excise tax. As of June 30, 2026 and December 31, 2025, $284 million and $300 million remained authorized under the Repurchase Plan, respectively. During July 2026, the Company repurchased an additional 104 thousand shares of its common stock for an aggregate purchase price of $5 million, including share repurchase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 -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AOCIL by component:</w:t>
      </w:r>
    </w:p>
    <w:tbl>
      <w:tblPr>
        <w:tblW w:w="10205" w:type="dxa"/>
        <w:jc w:val="center"/>
        <w:tblInd w:w="0" w:type="dxa"/>
        <w:tblLayout w:type="fixed"/>
        <w:tblCellMar>
          <w:top w:w="28" w:type="dxa"/>
          <w:left w:w="28" w:type="dxa"/>
          <w:bottom w:w="28" w:type="dxa"/>
          <w:right w:w="28" w:type="dxa"/>
        </w:tblCellMar>
      </w:tblPr>
      <w:tblGrid>
        <w:gridCol w:w="770"/>
        <w:gridCol w:w="553"/>
        <w:gridCol w:w="340"/>
        <w:gridCol w:w="109"/>
        <w:gridCol w:w="109"/>
        <w:gridCol w:w="109"/>
        <w:gridCol w:w="311"/>
        <w:gridCol w:w="533"/>
        <w:gridCol w:w="162"/>
        <w:gridCol w:w="110"/>
        <w:gridCol w:w="110"/>
        <w:gridCol w:w="110"/>
        <w:gridCol w:w="271"/>
        <w:gridCol w:w="573"/>
        <w:gridCol w:w="116"/>
        <w:gridCol w:w="109"/>
        <w:gridCol w:w="109"/>
        <w:gridCol w:w="109"/>
        <w:gridCol w:w="211"/>
        <w:gridCol w:w="406"/>
        <w:gridCol w:w="109"/>
        <w:gridCol w:w="109"/>
        <w:gridCol w:w="109"/>
        <w:gridCol w:w="109"/>
        <w:gridCol w:w="214"/>
        <w:gridCol w:w="412"/>
        <w:gridCol w:w="110"/>
        <w:gridCol w:w="109"/>
        <w:gridCol w:w="109"/>
        <w:gridCol w:w="109"/>
        <w:gridCol w:w="211"/>
        <w:gridCol w:w="485"/>
        <w:gridCol w:w="109"/>
        <w:gridCol w:w="109"/>
        <w:gridCol w:w="109"/>
        <w:gridCol w:w="109"/>
        <w:gridCol w:w="286"/>
        <w:gridCol w:w="552"/>
        <w:gridCol w:w="150"/>
        <w:gridCol w:w="109"/>
        <w:gridCol w:w="109"/>
        <w:gridCol w:w="109"/>
        <w:gridCol w:w="254"/>
        <w:gridCol w:w="580"/>
        <w:gridCol w:w="195"/>
      </w:tblGrid>
      <w:tr>
        <w:trPr/>
        <w:tc>
          <w:tcPr>
            <w:tcW w:w="7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Foreign Currency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Cash</w:t>
              <w:br/>
              <w:t>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Fair Value</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Defined</w:t>
              <w:br/>
              <w:t>Benefit</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Less: AOCIL</w:t>
              <w:br/>
              <w:t>attributable to</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AOCIL</w:t>
              <w:br/>
              <w:t>attributable</w:t>
              <w:br/>
              <w:t>to GXO</w:t>
            </w:r>
          </w:p>
        </w:tc>
      </w:tr>
      <w:tr>
        <w:trPr/>
        <w:tc>
          <w:tcPr>
            <w:tcW w:w="1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83"/>
        <w:gridCol w:w="479"/>
        <w:gridCol w:w="365"/>
        <w:gridCol w:w="109"/>
        <w:gridCol w:w="109"/>
        <w:gridCol w:w="109"/>
        <w:gridCol w:w="270"/>
        <w:gridCol w:w="596"/>
        <w:gridCol w:w="140"/>
        <w:gridCol w:w="110"/>
        <w:gridCol w:w="110"/>
        <w:gridCol w:w="110"/>
        <w:gridCol w:w="261"/>
        <w:gridCol w:w="596"/>
        <w:gridCol w:w="119"/>
        <w:gridCol w:w="109"/>
        <w:gridCol w:w="109"/>
        <w:gridCol w:w="109"/>
        <w:gridCol w:w="211"/>
        <w:gridCol w:w="406"/>
        <w:gridCol w:w="109"/>
        <w:gridCol w:w="109"/>
        <w:gridCol w:w="109"/>
        <w:gridCol w:w="109"/>
        <w:gridCol w:w="217"/>
        <w:gridCol w:w="323"/>
        <w:gridCol w:w="112"/>
        <w:gridCol w:w="109"/>
        <w:gridCol w:w="109"/>
        <w:gridCol w:w="109"/>
        <w:gridCol w:w="211"/>
        <w:gridCol w:w="486"/>
        <w:gridCol w:w="109"/>
        <w:gridCol w:w="109"/>
        <w:gridCol w:w="109"/>
        <w:gridCol w:w="109"/>
        <w:gridCol w:w="363"/>
        <w:gridCol w:w="440"/>
        <w:gridCol w:w="189"/>
        <w:gridCol w:w="109"/>
        <w:gridCol w:w="109"/>
        <w:gridCol w:w="109"/>
        <w:gridCol w:w="254"/>
        <w:gridCol w:w="580"/>
        <w:gridCol w:w="194"/>
      </w:tblGrid>
      <w:tr>
        <w:trPr/>
        <w:tc>
          <w:tcPr>
            <w:tcW w:w="8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Foreign Currency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Cash</w:t>
              <w:br/>
              <w:t>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Fair Value</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Defined</w:t>
              <w:br/>
              <w:t>Benefit</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Less: AOCIL</w:t>
              <w:br/>
              <w:t>attributable to</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AOCIL</w:t>
              <w:br/>
              <w:t>attributable</w:t>
              <w:br/>
              <w:t>to GXO</w:t>
            </w:r>
          </w:p>
        </w:tc>
      </w:tr>
      <w:tr>
        <w:trPr/>
        <w:tc>
          <w:tcPr>
            <w:tcW w:w="1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39"/>
        <w:gridCol w:w="821"/>
        <w:gridCol w:w="669"/>
        <w:gridCol w:w="109"/>
        <w:gridCol w:w="109"/>
        <w:gridCol w:w="109"/>
        <w:gridCol w:w="270"/>
        <w:gridCol w:w="596"/>
        <w:gridCol w:w="140"/>
        <w:gridCol w:w="114"/>
        <w:gridCol w:w="114"/>
        <w:gridCol w:w="114"/>
        <w:gridCol w:w="305"/>
        <w:gridCol w:w="728"/>
        <w:gridCol w:w="145"/>
        <w:gridCol w:w="109"/>
        <w:gridCol w:w="109"/>
        <w:gridCol w:w="109"/>
        <w:gridCol w:w="231"/>
        <w:gridCol w:w="280"/>
        <w:gridCol w:w="120"/>
        <w:gridCol w:w="109"/>
        <w:gridCol w:w="109"/>
        <w:gridCol w:w="109"/>
        <w:gridCol w:w="211"/>
        <w:gridCol w:w="500"/>
        <w:gridCol w:w="109"/>
        <w:gridCol w:w="109"/>
        <w:gridCol w:w="109"/>
        <w:gridCol w:w="109"/>
        <w:gridCol w:w="370"/>
        <w:gridCol w:w="475"/>
        <w:gridCol w:w="192"/>
        <w:gridCol w:w="109"/>
        <w:gridCol w:w="109"/>
        <w:gridCol w:w="109"/>
        <w:gridCol w:w="254"/>
        <w:gridCol w:w="580"/>
        <w:gridCol w:w="193"/>
      </w:tblGrid>
      <w:tr>
        <w:trPr/>
        <w:tc>
          <w:tcPr>
            <w:tcW w:w="103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Foreign Currency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Cash</w:t>
              <w:br/>
              <w:t>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Defined</w:t>
              <w:br/>
              <w:t>Benefit</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Less: AOCIL</w:t>
              <w:br/>
              <w:t>attributable to</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AOCIL</w:t>
              <w:br/>
              <w:t>attributable</w:t>
              <w:br/>
              <w:t>to GXO</w:t>
            </w:r>
          </w:p>
        </w:tc>
      </w:tr>
      <w:tr>
        <w:trPr/>
        <w:tc>
          <w:tcPr>
            <w:tcW w:w="2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(245)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(194)</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(177)</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(120)</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09"/>
        <w:gridCol w:w="752"/>
        <w:gridCol w:w="670"/>
        <w:gridCol w:w="109"/>
        <w:gridCol w:w="109"/>
        <w:gridCol w:w="109"/>
        <w:gridCol w:w="265"/>
        <w:gridCol w:w="604"/>
        <w:gridCol w:w="137"/>
        <w:gridCol w:w="113"/>
        <w:gridCol w:w="113"/>
        <w:gridCol w:w="113"/>
        <w:gridCol w:w="299"/>
        <w:gridCol w:w="734"/>
        <w:gridCol w:w="145"/>
        <w:gridCol w:w="109"/>
        <w:gridCol w:w="109"/>
        <w:gridCol w:w="109"/>
        <w:gridCol w:w="231"/>
        <w:gridCol w:w="280"/>
        <w:gridCol w:w="120"/>
        <w:gridCol w:w="109"/>
        <w:gridCol w:w="109"/>
        <w:gridCol w:w="109"/>
        <w:gridCol w:w="211"/>
        <w:gridCol w:w="500"/>
        <w:gridCol w:w="109"/>
        <w:gridCol w:w="109"/>
        <w:gridCol w:w="109"/>
        <w:gridCol w:w="109"/>
        <w:gridCol w:w="370"/>
        <w:gridCol w:w="475"/>
        <w:gridCol w:w="192"/>
        <w:gridCol w:w="109"/>
        <w:gridCol w:w="109"/>
        <w:gridCol w:w="109"/>
        <w:gridCol w:w="254"/>
        <w:gridCol w:w="580"/>
        <w:gridCol w:w="194"/>
      </w:tblGrid>
      <w:tr>
        <w:trPr/>
        <w:tc>
          <w:tcPr>
            <w:tcW w:w="1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Foreign Currency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Net Investment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Cash</w:t>
              <w:br/>
              <w:t>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Defined</w:t>
              <w:br/>
              <w:t>Benefit</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Less: AOCIL</w:t>
              <w:br/>
              <w:t>attributable to</w:t>
              <w:b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AOCIL</w:t>
              <w:br/>
              <w:t>attributable</w:t>
              <w:br/>
              <w:t>to GXO</w:t>
            </w:r>
          </w:p>
        </w:tc>
      </w:tr>
      <w:tr>
        <w:trPr/>
        <w:tc>
          <w:tcPr>
            <w:tcW w:w="2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419 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(270)</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to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(177)</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(120)</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and will continue to be involved, in numerous legal proceedings arising from the conduct of its business. These proceedings may include personal injury claims arising from the transportation and handling of goods, contractual disputes and employment-related claims, including alleged violations of wage and hour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a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related to these matters are expensed as they are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on Form 10-Q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should be read in conjunction with the audited consolidated financial statements and notes thereto included in the Company’s Annual Report on Form 10-K for the fiscal year ended December 31, 2025, as filed with the SEC on February 25, 2026 (the “2025 Form 10-K”), and the unaudited condensed consolidated financial statements and related notes thereto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GXO Logistics, Inc., together with its subsidiaries (“GXO,” the “Company,” “our” or “we”), is the largest pure-play contract logistics provider in the world and a foremost innovator in the industry. We provide our customers with high-value-added warehousing and distribution, order fulfillment, e-commerce, reverse logistics, and other supply chain services differentiated by our ability to deliver technology-enabled, customized solutions at scale. Our customers rely on us to move their goods with high efficiency through their supply chains — from the moment goods arrive at our warehouses through fulfillment and distribution, and the management of returned products. Our customer base includes many blue-chip leaders across sectors with high growth and/or durable demand, with significant growth potential through customer outsourcing of logistics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model is asset-light and historically resilient in cycles, with high returns, strong free cash flow, and visibility into revenue and earnings. The vast majority of our contracts with customers are long-term, and our warehouse lease arrangements generally align with the length of those contracts. The Company has both fixed-price contracts (closed-book or hybrid) and cost-plus contracts (open-book). Most of our customer contracts contain both fixed and variable components. The fixed component is typically designed to cover warehouse, technology, and equipment costs, while the variable component is determined based on expected volumes and associated labor costs. Under fixed-price contracts, the Company agrees to perform the specified work for a pre-determined price. To the extent the Company’s actual costs vary from the estimates upon which the price was negotiated, the Company will generate more or less profit. Cost-plus contracts provide for the payment of allowable costs incurred during contract performance, plus a specified margin.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Three Months Ended June 30, 2026 compared with the Three Months Ended June 30, 2025</w:t>
      </w:r>
    </w:p>
    <w:p>
      <w:pPr>
        <w:pStyle w:val="TextBody"/>
        <w:bidi w:val="0"/>
        <w:spacing w:before="0" w:after="0"/>
        <w:jc w:val="left"/>
        <w:rPr/>
      </w:pPr>
      <w:r>
        <w:rPr/>
      </w:r>
    </w:p>
    <w:tbl>
      <w:tblPr>
        <w:tblW w:w="8894" w:type="dxa"/>
        <w:jc w:val="center"/>
        <w:tblInd w:w="0" w:type="dxa"/>
        <w:tblLayout w:type="fixed"/>
        <w:tblCellMar>
          <w:top w:w="28" w:type="dxa"/>
          <w:left w:w="28" w:type="dxa"/>
          <w:bottom w:w="28" w:type="dxa"/>
          <w:right w:w="28" w:type="dxa"/>
        </w:tblCellMar>
      </w:tblPr>
      <w:tblGrid>
        <w:gridCol w:w="1325"/>
        <w:gridCol w:w="1165"/>
        <w:gridCol w:w="1169"/>
        <w:gridCol w:w="109"/>
        <w:gridCol w:w="109"/>
        <w:gridCol w:w="109"/>
        <w:gridCol w:w="211"/>
        <w:gridCol w:w="616"/>
        <w:gridCol w:w="109"/>
        <w:gridCol w:w="109"/>
        <w:gridCol w:w="109"/>
        <w:gridCol w:w="109"/>
        <w:gridCol w:w="211"/>
        <w:gridCol w:w="616"/>
        <w:gridCol w:w="109"/>
        <w:gridCol w:w="109"/>
        <w:gridCol w:w="109"/>
        <w:gridCol w:w="109"/>
        <w:gridCol w:w="241"/>
        <w:gridCol w:w="534"/>
        <w:gridCol w:w="126"/>
        <w:gridCol w:w="109"/>
        <w:gridCol w:w="109"/>
        <w:gridCol w:w="109"/>
        <w:gridCol w:w="269"/>
        <w:gridCol w:w="271"/>
        <w:gridCol w:w="61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increased by 4%, or $142 million, to $3.4 billion compared with $3.3 billion for the same period in 2025. The increase reflects growth in our business and $29 million of foreign currency movements for the three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 operating expense for the three months ended June 30, 2026, increased by 4%, or $120 million, to $2.9 billion compared with $2.8 billion for the same period in 2025. As a percentage of revenue, Direct operating expense for the three months ended June 30, 2026, was 85.2% compared with 85.3% for the same period in 2025. The increase in Direct operating expense reflects growth in our business and $24 million of foreign currency movements for the three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for the three months ended June 30, 2026, increased by $23 million, to $295 million compared with $272 million for the same period in 2025. The increase reflects growth in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from expense to income, due to higher pension income and foreign currency gain on foreign currency contracts in the current period. Other income (expense), net was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78"/>
        <w:gridCol w:w="1739"/>
        <w:gridCol w:w="1745"/>
        <w:gridCol w:w="109"/>
        <w:gridCol w:w="109"/>
        <w:gridCol w:w="109"/>
        <w:gridCol w:w="211"/>
        <w:gridCol w:w="256"/>
        <w:gridCol w:w="109"/>
        <w:gridCol w:w="109"/>
        <w:gridCol w:w="109"/>
        <w:gridCol w:w="109"/>
        <w:gridCol w:w="211"/>
        <w:gridCol w:w="408"/>
        <w:gridCol w:w="109"/>
        <w:gridCol w:w="109"/>
        <w:gridCol w:w="109"/>
        <w:gridCol w:w="109"/>
        <w:gridCol w:w="279"/>
        <w:gridCol w:w="477"/>
        <w:gridCol w:w="145"/>
        <w:gridCol w:w="109"/>
        <w:gridCol w:w="109"/>
        <w:gridCol w:w="109"/>
        <w:gridCol w:w="255"/>
        <w:gridCol w:w="257"/>
        <w:gridCol w:w="618"/>
      </w:tblGrid>
      <w:tr>
        <w:trPr/>
        <w:tc>
          <w:tcPr>
            <w:tcW w:w="207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5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55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and remeasurement loss, net of foreign currency contracts on intercompany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currency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55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was as follows:</w:t>
      </w:r>
    </w:p>
    <w:p>
      <w:pPr>
        <w:pStyle w:val="TextBody"/>
        <w:bidi w:val="0"/>
        <w:spacing w:before="0" w:after="0"/>
        <w:jc w:val="left"/>
        <w:rPr/>
      </w:pPr>
      <w:r>
        <w:rPr/>
      </w:r>
    </w:p>
    <w:tbl>
      <w:tblPr>
        <w:tblW w:w="7367"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11"/>
        <w:gridCol w:w="361"/>
        <w:gridCol w:w="109"/>
        <w:gridCol w:w="109"/>
        <w:gridCol w:w="109"/>
        <w:gridCol w:w="109"/>
        <w:gridCol w:w="211"/>
        <w:gridCol w:w="361"/>
        <w:gridCol w:w="109"/>
        <w:gridCol w:w="109"/>
        <w:gridCol w:w="109"/>
        <w:gridCol w:w="109"/>
        <w:gridCol w:w="321"/>
        <w:gridCol w:w="413"/>
        <w:gridCol w:w="167"/>
        <w:gridCol w:w="109"/>
        <w:gridCol w:w="109"/>
        <w:gridCol w:w="109"/>
        <w:gridCol w:w="211"/>
        <w:gridCol w:w="211"/>
        <w:gridCol w:w="61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and capital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Six Months Ended June 30, 2026 compared with the Six Months Ended June 30, 2025</w:t>
      </w:r>
    </w:p>
    <w:p>
      <w:pPr>
        <w:pStyle w:val="TextBody"/>
        <w:bidi w:val="0"/>
        <w:spacing w:before="0" w:after="0"/>
        <w:jc w:val="left"/>
        <w:rPr/>
      </w:pPr>
      <w:r>
        <w:rPr/>
      </w:r>
    </w:p>
    <w:tbl>
      <w:tblPr>
        <w:tblW w:w="8894" w:type="dxa"/>
        <w:jc w:val="center"/>
        <w:tblInd w:w="0" w:type="dxa"/>
        <w:tblLayout w:type="fixed"/>
        <w:tblCellMar>
          <w:top w:w="28" w:type="dxa"/>
          <w:left w:w="28" w:type="dxa"/>
          <w:bottom w:w="28" w:type="dxa"/>
          <w:right w:w="28" w:type="dxa"/>
        </w:tblCellMar>
      </w:tblPr>
      <w:tblGrid>
        <w:gridCol w:w="1325"/>
        <w:gridCol w:w="1165"/>
        <w:gridCol w:w="1169"/>
        <w:gridCol w:w="109"/>
        <w:gridCol w:w="109"/>
        <w:gridCol w:w="109"/>
        <w:gridCol w:w="211"/>
        <w:gridCol w:w="616"/>
        <w:gridCol w:w="109"/>
        <w:gridCol w:w="109"/>
        <w:gridCol w:w="109"/>
        <w:gridCol w:w="109"/>
        <w:gridCol w:w="211"/>
        <w:gridCol w:w="616"/>
        <w:gridCol w:w="109"/>
        <w:gridCol w:w="109"/>
        <w:gridCol w:w="109"/>
        <w:gridCol w:w="109"/>
        <w:gridCol w:w="241"/>
        <w:gridCol w:w="534"/>
        <w:gridCol w:w="126"/>
        <w:gridCol w:w="109"/>
        <w:gridCol w:w="109"/>
        <w:gridCol w:w="109"/>
        <w:gridCol w:w="269"/>
        <w:gridCol w:w="271"/>
        <w:gridCol w:w="61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six months ended June 30, 2026, increased by 7%, or $463 million, to $6.7 billion compared with $6.3 billion for the same period in 2025. The increase reflects growth in our business and $227 million of foreign currency movements for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 operating expense for the six months ended June 30, 2026, increased by 7%, or $370 million, to $5.7 billion compared with $5.4 billion for the same period in 2025. As a percentage of revenue, Direct operating expense for the six months ended June 30, 2026, was 85.2% compared with 85.6% for the same period in 2025. The increase in Direct operating expense reflects growth in our business and $191 million of foreign currency movements for the six months ended June 30, 2026. For the six months ended June 30, 2026, we recorded a net benefit of $30 million, primarily in rent expense, from a real estate transaction that occurred in the fourth quarter of 2025, which resulted in an early termination of a lease. The increase in Direct operating expense before recognizing the real estate transaction was in line with our business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for the six months ended June 30, 2026, increased by $58 million, to $591 million compared with $533 million for the same period in 2025. The increase reflects growth in our business and $22 million of foreign currency movements for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 for the six months ended June 30, 2026 and June 30, 2025, were $28 million and $36 million, respectively, and primarily related to the acquisition and integration of Wincanton.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 costs for the six months ended June 30, 2026 and June 30, 2025, were $8 million and $19 million, respectively. Restructuring costs primarily consisted of severance paid to exiting members of the Company’s leadership team and to individuals as part of an initiative to optimize corporate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matter for the six months ended June 30, 2025 was $65 million and related to the deductibility of value-added tax payments we made to certain third-party service providers, which was settled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on divestiture of business for the six months ended June 30, 2026, was $23 million and related to a further reduction of the estimated fair value of certain grocery contracts. See Note 10. “Divestiture,”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from expense to income, due to higher pension income and foreign currency gain on foreign currency contracts in the current period. Other income (expense), net was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42"/>
        <w:gridCol w:w="1705"/>
        <w:gridCol w:w="1711"/>
        <w:gridCol w:w="109"/>
        <w:gridCol w:w="109"/>
        <w:gridCol w:w="109"/>
        <w:gridCol w:w="211"/>
        <w:gridCol w:w="361"/>
        <w:gridCol w:w="109"/>
        <w:gridCol w:w="109"/>
        <w:gridCol w:w="109"/>
        <w:gridCol w:w="109"/>
        <w:gridCol w:w="211"/>
        <w:gridCol w:w="408"/>
        <w:gridCol w:w="109"/>
        <w:gridCol w:w="109"/>
        <w:gridCol w:w="109"/>
        <w:gridCol w:w="109"/>
        <w:gridCol w:w="279"/>
        <w:gridCol w:w="477"/>
        <w:gridCol w:w="145"/>
        <w:gridCol w:w="109"/>
        <w:gridCol w:w="109"/>
        <w:gridCol w:w="109"/>
        <w:gridCol w:w="255"/>
        <w:gridCol w:w="257"/>
        <w:gridCol w:w="617"/>
      </w:tblGrid>
      <w:tr>
        <w:trPr/>
        <w:tc>
          <w:tcPr>
            <w:tcW w:w="204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5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5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pension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loss on 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and remeasurement loss, net of foreign currency contracts on intercompany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currency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was as follows:</w:t>
      </w:r>
    </w:p>
    <w:tbl>
      <w:tblPr>
        <w:tblW w:w="7367"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11"/>
        <w:gridCol w:w="361"/>
        <w:gridCol w:w="109"/>
        <w:gridCol w:w="109"/>
        <w:gridCol w:w="109"/>
        <w:gridCol w:w="109"/>
        <w:gridCol w:w="211"/>
        <w:gridCol w:w="361"/>
        <w:gridCol w:w="109"/>
        <w:gridCol w:w="109"/>
        <w:gridCol w:w="109"/>
        <w:gridCol w:w="109"/>
        <w:gridCol w:w="321"/>
        <w:gridCol w:w="413"/>
        <w:gridCol w:w="167"/>
        <w:gridCol w:w="109"/>
        <w:gridCol w:w="109"/>
        <w:gridCol w:w="109"/>
        <w:gridCol w:w="211"/>
        <w:gridCol w:w="211"/>
        <w:gridCol w:w="61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 and capital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for the six months ended June 30, 2026, was income of $65 million compared with a loss of $50 million for the same period in 2025. The increase from loss to income reflects higher operating income, primarily due to growth in our business, including a net benefit of $30 million from a real estate transaction, and the non-recurrence of a regulatory matter in 2025, offset by a net loss related to the Wincanton Divestment and other income from higher pension income and foreign currency gains on foreign currency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was $33 million compared with $17 million for the same period in 2025. Our effective tax rate for the six months ended June 30, 2026, was an expense on pre-tax income of 50.6%, compared to an expense on pre-tax loss of (35.3)% for the same period in 2025. The change to our effective tax rate was primarily driven by an increase in pre-tax income, an increase in unrecognized tax benefits for the six months ended June 30, 2026, and a regulatory matter during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fund our operations and anticipated capital needs is reliant upon the generation of cash from operations, supplemented as necessary by periodic utilization of our revolving credit facility and factoring programs. Our principal uses of cash in the future will be primarily to fund our operations, working capital needs, capital expenditures, repayment of borrowings and strategic business development transactions. The timing and magnitude of our new contract start-ups can vary and may positively or negatively impact our cash flows. We continually evaluate our liquidity requirements and capital structure in light of our operating needs, growth initiatives and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As of June 30, 2026, we held cash and cash equivalents of $769 million and restricted cash of $4 million, and we had $793 million of borrowing capacity, net of letters of credit under our revolving credit facility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Upon maturity in July 2026, we repaid $400 million of unsecured notes using cash on 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our board of directors authorized and announced a repurchase plan for up to $500 million of our common stock (the “Repurchase Plan”). The Repurchase Plan permits shares of common stock to be repurchased from time to time in management’s discretion. The Repurchase Plan does not obligate the Company to repurchase any specific number of shares of common stock and may be suspended or discontinued at any time. We expect to fund any remaining repurchases with existing cash on hand, borrowings under our revolving credit facility, and/or other financing sources. In the second quarter of 2026, we repurchased $16 million of shares. As of June 30, 2026, $284 million remained authorized under the Repurchase Plan. During July 2026, we repurchased an additional $5 million of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We believe that our cas</w:t>
      </w:r>
      <w:r>
        <w:rPr>
          <w:rFonts w:ascii="Times New Roman;serif" w:hAnsi="Times New Roman;serif"/>
          <w:b w:val="false"/>
          <w:color w:val="000000"/>
          <w:sz w:val="20"/>
        </w:rPr>
        <w:t>h and cash equivalents on hand, our cash flows generated by our operations, amounts available under the revolving credit facility, the use of our factoring programs, and refinancing options available to us in the capital markets will provide sufficient liquidity to operate our business, including the repayment of the current portion of our debt, for at least the next 12 months and for the foreseeable future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cash requirements from lease obligations, indebtedness, and contractual obligations, see Note 4. “Leases,” Note 7. “Debt and Financing Arrangements,” and Note 14. “Commitments and Contingencies” in Part I, Item 1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asset and liability balances:</w:t>
      </w:r>
    </w:p>
    <w:p>
      <w:pPr>
        <w:pStyle w:val="TextBody"/>
        <w:bidi w:val="0"/>
        <w:spacing w:before="0" w:after="0"/>
        <w:jc w:val="left"/>
        <w:rPr/>
      </w:pPr>
      <w:r>
        <w:rPr/>
      </w:r>
    </w:p>
    <w:tbl>
      <w:tblPr>
        <w:tblW w:w="8201" w:type="dxa"/>
        <w:jc w:val="center"/>
        <w:tblInd w:w="0" w:type="dxa"/>
        <w:tblLayout w:type="fixed"/>
        <w:tblCellMar>
          <w:top w:w="28" w:type="dxa"/>
          <w:left w:w="28" w:type="dxa"/>
          <w:bottom w:w="28" w:type="dxa"/>
          <w:right w:w="28" w:type="dxa"/>
        </w:tblCellMar>
      </w:tblPr>
      <w:tblGrid>
        <w:gridCol w:w="999"/>
        <w:gridCol w:w="879"/>
        <w:gridCol w:w="882"/>
        <w:gridCol w:w="109"/>
        <w:gridCol w:w="109"/>
        <w:gridCol w:w="109"/>
        <w:gridCol w:w="211"/>
        <w:gridCol w:w="616"/>
        <w:gridCol w:w="109"/>
        <w:gridCol w:w="109"/>
        <w:gridCol w:w="109"/>
        <w:gridCol w:w="109"/>
        <w:gridCol w:w="283"/>
        <w:gridCol w:w="829"/>
        <w:gridCol w:w="148"/>
        <w:gridCol w:w="109"/>
        <w:gridCol w:w="109"/>
        <w:gridCol w:w="109"/>
        <w:gridCol w:w="273"/>
        <w:gridCol w:w="486"/>
        <w:gridCol w:w="142"/>
        <w:gridCol w:w="109"/>
        <w:gridCol w:w="109"/>
        <w:gridCol w:w="109"/>
        <w:gridCol w:w="211"/>
        <w:gridCol w:w="211"/>
        <w:gridCol w:w="61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our total assets and total liabilities from December 31, 2025 to June 30, 2026, other than the reclassification of $275 million of debt from long-term to current.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 Activity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operating, investing and financing activities, as reflected on our Condensed Consolidated Statements of Cash Flows, are summarized as follows:</w:t>
      </w:r>
    </w:p>
    <w:p>
      <w:pPr>
        <w:pStyle w:val="TextBody"/>
        <w:bidi w:val="0"/>
        <w:spacing w:before="0" w:after="0"/>
        <w:jc w:val="left"/>
        <w:rPr/>
      </w:pPr>
      <w:r>
        <w:rPr/>
      </w:r>
    </w:p>
    <w:tbl>
      <w:tblPr>
        <w:tblW w:w="9646" w:type="dxa"/>
        <w:jc w:val="center"/>
        <w:tblInd w:w="0" w:type="dxa"/>
        <w:tblLayout w:type="fixed"/>
        <w:tblCellMar>
          <w:top w:w="28" w:type="dxa"/>
          <w:left w:w="28" w:type="dxa"/>
          <w:bottom w:w="28" w:type="dxa"/>
          <w:right w:w="28" w:type="dxa"/>
        </w:tblCellMar>
      </w:tblPr>
      <w:tblGrid>
        <w:gridCol w:w="1716"/>
        <w:gridCol w:w="1509"/>
        <w:gridCol w:w="1515"/>
        <w:gridCol w:w="109"/>
        <w:gridCol w:w="109"/>
        <w:gridCol w:w="109"/>
        <w:gridCol w:w="211"/>
        <w:gridCol w:w="466"/>
        <w:gridCol w:w="109"/>
        <w:gridCol w:w="109"/>
        <w:gridCol w:w="109"/>
        <w:gridCol w:w="109"/>
        <w:gridCol w:w="211"/>
        <w:gridCol w:w="541"/>
        <w:gridCol w:w="109"/>
        <w:gridCol w:w="109"/>
        <w:gridCol w:w="109"/>
        <w:gridCol w:w="109"/>
        <w:gridCol w:w="241"/>
        <w:gridCol w:w="534"/>
        <w:gridCol w:w="126"/>
        <w:gridCol w:w="109"/>
        <w:gridCol w:w="109"/>
        <w:gridCol w:w="109"/>
        <w:gridCol w:w="218"/>
        <w:gridCol w:w="218"/>
        <w:gridCol w:w="614"/>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six months ended June 30, 2026, increased by $75 million compared with the same period in 2025. The increase was due to higher net income adjusted for the net effect of non-cash items and lower accounts payable cash outflow, partially offset by higher cash usage from accounts receivable and other assets. For the six months ended June 30, 2026 and June 30, 2025, net cash provided by our factoring programs was $14 million and $78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 used $126 million and $123 million of cash for the six months ended June 30, 2026 and June 30, 2025, respectively. During the six months ended June 30, 2026, we utilized $130 million of cash to purchase property and equipment and received $4 million from the sale of property and equipment. During the six months ended June 30, 2025, we utilized $125 million of cash to purchase property and equipment and received $2 million from the sale of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 used $62 million and $227 million of cash for the six months ended June 30, 2026 and June 30, 2025, respectively. The primary use of cash from financing activities during the six months ended June 30, 2026, was $25 million to repay finance lease obligations, $18 million to repurchase shares of our common stock pursuant to the Repurchase Plan and to pay excise tax, $17 million in payments for employee taxes on net settlement of equity awards and $10 million net obligations under factoring arrangements, partially offset by $7 million in proceeds from the exercise of stock options and $1 million increase in bank overdraft. The primary use of cash from financing activities during the six months ended June 30, 2025, was $200 million used to repurchase shares of our common stock pursuant to the Repurchase Plan, $55 million to repay debt, $24 million to repay finance lease obligations, $12 million net obligations under factoring arrangements and $7 million in payments for employee taxes on net settlement of equity awards, partially offset by $64 million increase in bank overdraft and $8 million of net borrowings under revolving credit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Guaranteed Securities: Summarized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information is provided to comply with Rule 13-01 of Regulation S-X under the Exchange Act of 1934 for the €500 million 3.750% notes due 2030 issued by GXO Logistics Capital B.V. (“GXO Capital”), a subsidiary of the Company incorporated under the laws of the Netherlands. GXO Capital was incorporated in October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€500 million 3.750% notes due 2030 are fully and unconditionally guaranteed on an unsecured and unsubordinated basis by GXO Logistics, Inc. (“GXO”). The €500 million 3.750% notes due 2030 are not guaranteed by any of GXO’s or GXO Capital’s subsidiaries (all GXO subsidiaries other than GXO Capital are referred to herein as "non-guarantor subsidiaries"). Holders of the €500 million 3.750% notes due 2030 will have a direct claim only against GXO Capital, as issuer, and GXO, as guarantor.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summarized financial information for the six months ended June 30, 2026, and as of June 30, 2026 and December 31, 2025, of GXO and GXO Capital, on a standalone basis, which does not include the consolidated impact of the assets, liabilities, and financial results of their subsidiaries except as noted in the tables below, nor does it include any impact of intercompany eliminations as there were no intercompany transactions between GXO and GXO Capital. This summarized financial information is not intended to present the financial position or results of operations of GXO or GXO Capital in accordance with U.S. generally accepted accounting principles (“GAAP”).</w:t>
      </w:r>
    </w:p>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207"/>
        <w:gridCol w:w="1062"/>
        <w:gridCol w:w="1511"/>
      </w:tblGrid>
      <w:tr>
        <w:trPr/>
        <w:tc>
          <w:tcPr>
            <w:tcW w:w="120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Results of Operations</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7617" w:type="dxa"/>
        <w:jc w:val="center"/>
        <w:tblInd w:w="0" w:type="dxa"/>
        <w:tblLayout w:type="fixed"/>
        <w:tblCellMar>
          <w:top w:w="28" w:type="dxa"/>
          <w:left w:w="28" w:type="dxa"/>
          <w:bottom w:w="28" w:type="dxa"/>
          <w:right w:w="28" w:type="dxa"/>
        </w:tblCellMar>
      </w:tblPr>
      <w:tblGrid>
        <w:gridCol w:w="2033"/>
        <w:gridCol w:w="1782"/>
        <w:gridCol w:w="1795"/>
        <w:gridCol w:w="109"/>
        <w:gridCol w:w="109"/>
        <w:gridCol w:w="109"/>
        <w:gridCol w:w="442"/>
        <w:gridCol w:w="915"/>
        <w:gridCol w:w="323"/>
      </w:tblGrid>
      <w:tr>
        <w:trPr/>
        <w:tc>
          <w:tcPr>
            <w:tcW w:w="203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 and other income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GXO standalone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3780" w:type="dxa"/>
        <w:jc w:val="left"/>
        <w:tblInd w:w="0" w:type="dxa"/>
        <w:tblLayout w:type="fixed"/>
        <w:tblCellMar>
          <w:top w:w="28" w:type="dxa"/>
          <w:left w:w="28" w:type="dxa"/>
          <w:bottom w:w="28" w:type="dxa"/>
          <w:right w:w="28" w:type="dxa"/>
        </w:tblCellMar>
      </w:tblPr>
      <w:tblGrid>
        <w:gridCol w:w="1207"/>
        <w:gridCol w:w="1062"/>
        <w:gridCol w:w="1511"/>
      </w:tblGrid>
      <w:tr>
        <w:trPr/>
        <w:tc>
          <w:tcPr>
            <w:tcW w:w="120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Assets and Liabilities</w:t>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7034" w:type="dxa"/>
        <w:jc w:val="center"/>
        <w:tblInd w:w="0" w:type="dxa"/>
        <w:tblLayout w:type="fixed"/>
        <w:tblCellMar>
          <w:top w:w="28" w:type="dxa"/>
          <w:left w:w="28" w:type="dxa"/>
          <w:bottom w:w="28" w:type="dxa"/>
          <w:right w:w="28" w:type="dxa"/>
        </w:tblCellMar>
      </w:tblPr>
      <w:tblGrid>
        <w:gridCol w:w="1483"/>
        <w:gridCol w:w="1299"/>
        <w:gridCol w:w="1312"/>
        <w:gridCol w:w="109"/>
        <w:gridCol w:w="109"/>
        <w:gridCol w:w="109"/>
        <w:gridCol w:w="211"/>
        <w:gridCol w:w="616"/>
        <w:gridCol w:w="109"/>
        <w:gridCol w:w="109"/>
        <w:gridCol w:w="109"/>
        <w:gridCol w:w="109"/>
        <w:gridCol w:w="290"/>
        <w:gridCol w:w="847"/>
        <w:gridCol w:w="213"/>
      </w:tblGrid>
      <w:tr>
        <w:trPr/>
        <w:tc>
          <w:tcPr>
            <w:tcW w:w="148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to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1209"/>
        <w:gridCol w:w="1064"/>
        <w:gridCol w:w="1506"/>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 Capital</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Results of Operations</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5891" w:type="dxa"/>
        <w:jc w:val="center"/>
        <w:tblInd w:w="0" w:type="dxa"/>
        <w:tblLayout w:type="fixed"/>
        <w:tblCellMar>
          <w:top w:w="28" w:type="dxa"/>
          <w:left w:w="28" w:type="dxa"/>
          <w:bottom w:w="28" w:type="dxa"/>
          <w:right w:w="28" w:type="dxa"/>
        </w:tblCellMar>
      </w:tblPr>
      <w:tblGrid>
        <w:gridCol w:w="1408"/>
        <w:gridCol w:w="1234"/>
        <w:gridCol w:w="1243"/>
        <w:gridCol w:w="109"/>
        <w:gridCol w:w="109"/>
        <w:gridCol w:w="109"/>
        <w:gridCol w:w="458"/>
        <w:gridCol w:w="884"/>
        <w:gridCol w:w="337"/>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attributable to GXO Capital standalone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79" w:type="dxa"/>
        <w:jc w:val="left"/>
        <w:tblInd w:w="0" w:type="dxa"/>
        <w:tblLayout w:type="fixed"/>
        <w:tblCellMar>
          <w:top w:w="28" w:type="dxa"/>
          <w:left w:w="28" w:type="dxa"/>
          <w:bottom w:w="28" w:type="dxa"/>
          <w:right w:w="28" w:type="dxa"/>
        </w:tblCellMar>
      </w:tblPr>
      <w:tblGrid>
        <w:gridCol w:w="1209"/>
        <w:gridCol w:w="1064"/>
        <w:gridCol w:w="1506"/>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GXO Capital</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Summarized Assets and Liabilities</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Standalone and Unconsolidated (Unaudited)</w:t>
            </w:r>
          </w:p>
        </w:tc>
      </w:tr>
    </w:tbl>
    <w:tbl>
      <w:tblPr>
        <w:tblW w:w="6450" w:type="dxa"/>
        <w:jc w:val="center"/>
        <w:tblInd w:w="0" w:type="dxa"/>
        <w:tblLayout w:type="fixed"/>
        <w:tblCellMar>
          <w:top w:w="28" w:type="dxa"/>
          <w:left w:w="28" w:type="dxa"/>
          <w:bottom w:w="28" w:type="dxa"/>
          <w:right w:w="28" w:type="dxa"/>
        </w:tblCellMar>
      </w:tblPr>
      <w:tblGrid>
        <w:gridCol w:w="1271"/>
        <w:gridCol w:w="1114"/>
        <w:gridCol w:w="1125"/>
        <w:gridCol w:w="109"/>
        <w:gridCol w:w="109"/>
        <w:gridCol w:w="109"/>
        <w:gridCol w:w="211"/>
        <w:gridCol w:w="616"/>
        <w:gridCol w:w="109"/>
        <w:gridCol w:w="109"/>
        <w:gridCol w:w="109"/>
        <w:gridCol w:w="109"/>
        <w:gridCol w:w="290"/>
        <w:gridCol w:w="847"/>
        <w:gridCol w:w="213"/>
      </w:tblGrid>
      <w:tr>
        <w:trPr/>
        <w:tc>
          <w:tcPr>
            <w:tcW w:w="12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contractual obligations had not materially changed compared with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and estimates as previously disclosed in “Critical Accounting Policies” in Part II, Item 7 of our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related to new accounting standards is included in Note 1. “Basis of Presentation and Significant Accounting Policies and Estimates” in Part I, Item 1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that may impact our Condensed Consolidated Financial Statements primarily due to variable-rate debt and fluctuations in certain foreign currencies. To reduce our exposure to market risk associated with interest and foreign currency exchange rate risks, we enter into various derivative instruments. There have been no material changes to our exposure to market risk for the six months ended June 30, 2026, from those previously disclosed in “Quantitative and Qualitative Disclosures About Market Risk” contained in Part II, Item 7A of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June 30, 2026. Based on that evaluation, our CEO and CFO concluded that our disclosure controls and procedures as of June 30, 2026,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of the Exchange Act, during our most recently completed fiscal quarter that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14. “Commitments and Contingencies” in Part I, Item 1 of this Quarterly Report on Form 10-Q for a description of our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material changes to the risk factors as previously disclosed in “Risk Factors” contained in Part I, Item 1A of our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18 2025, the Company’s board of directors authorized and announced the repurchase of up to $500 million of its common stock (the “Repurchase Plan”). The Repurchase Plan permits shares of common stock to be repurchased from time to time in management’s discretion, through a variety of methods, including a 10b5-1 trading plan, open market purchases, privately negotiated transactions or otherwise. The Repurchase Plan does not obligate the Company to repurchase any specific number of shares of common stock and may be suspended or discontinued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repurchase activity on a cash basis during the second quarter of 2026:</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9"/>
        <w:gridCol w:w="262"/>
        <w:gridCol w:w="265"/>
        <w:gridCol w:w="109"/>
        <w:gridCol w:w="109"/>
        <w:gridCol w:w="109"/>
        <w:gridCol w:w="607"/>
        <w:gridCol w:w="467"/>
        <w:gridCol w:w="469"/>
        <w:gridCol w:w="109"/>
        <w:gridCol w:w="109"/>
        <w:gridCol w:w="109"/>
        <w:gridCol w:w="288"/>
        <w:gridCol w:w="841"/>
        <w:gridCol w:w="148"/>
        <w:gridCol w:w="109"/>
        <w:gridCol w:w="109"/>
        <w:gridCol w:w="109"/>
        <w:gridCol w:w="854"/>
        <w:gridCol w:w="754"/>
        <w:gridCol w:w="756"/>
        <w:gridCol w:w="109"/>
        <w:gridCol w:w="109"/>
        <w:gridCol w:w="109"/>
        <w:gridCol w:w="391"/>
        <w:gridCol w:w="2202"/>
        <w:gridCol w:w="29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9"/>
              </w:rPr>
              <w:t>Total Number of Shares Purchased</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9"/>
              </w:rPr>
              <w:t>Average Price Paid per Share</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9"/>
              </w:rPr>
              <w:t>Approximate Dollar Value of Shares that May Yet be Purchased Under the Plans or Programs</w:t>
            </w:r>
            <w:r>
              <w:rPr>
                <w:rFonts w:ascii="Times New Roman;serif" w:hAnsi="Times New Roman;serif"/>
                <w:b w:val="false"/>
                <w:color w:val="000000"/>
                <w:sz w:val="12"/>
              </w:rPr>
              <w:t>(2)(3)</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300,000,016 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300,000,016 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331,816 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331,816 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283,859,477 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331,816 </w:t>
            </w:r>
          </w:p>
        </w:tc>
        <w:tc>
          <w:tcPr>
            <w:tcW w:w="4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331,816 </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(1) All transactions are reported on a trade date basis.</w:t>
      </w:r>
    </w:p>
    <w:p>
      <w:pPr>
        <w:pStyle w:val="TextBody"/>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(2) The average price paid per share and the approximate dollar value of shares that may yet be purchased under the Repurchase Plan exclude the costs associated with the repurchases and 1% excise tax imposed by the United States government-enacted Inflation Reduction Act of 2022 on share repurchases in excess of issuances. We reflect the costs associated with the repurchase and the 1% excise tax within equity as part of the repurchase cost of the common stock. For additional information regarding the Repurchase Plan, see Note 13. “Stockholders’ Equity” in Part I, Item 1 of this Quarterly Report on Form 10-Q.</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 Approximate dollar value of shares that may yet be purchased under the Repurchase Plan at the end of the period.</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701"/>
        <w:gridCol w:w="2613"/>
        <w:gridCol w:w="3738"/>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Subsidiary Guarantors and Issuers of Guaranteed Securities (incorporated by reference to Exhibit 22.1 to the Company's Annual Report on Form 10-K (Commission file no. 001-404070) filed with the SEC on February 25,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210-qexx311ceo.htm">
              <w:r>
                <w:rPr>
                  <w:rStyle w:val="InternetLink"/>
                  <w:rFonts w:ascii="Times New Roman;serif" w:hAnsi="Times New Roman;serif"/>
                  <w:b w:val="false"/>
                  <w:color w:val="000080"/>
                  <w:sz w:val="18"/>
                  <w:u w:val="single"/>
                </w:rPr>
                <w:t xml:space="preserve">Certification of the Principal Executive Officer pursuant to Section 302 of the Sarbanes-Oxley Act of 2002, with respect to the registrant’s Quarterly Report on Form 10-Q for the fiscal quarter ended </w:t>
              </w:r>
            </w:hyperlink>
            <w:hyperlink w:anchor="gxo2026q210-qexx311ceo.htm">
              <w:r>
                <w:rPr>
                  <w:rStyle w:val="InternetLink"/>
                  <w:rFonts w:ascii="Times New Roman;serif" w:hAnsi="Times New Roman;serif"/>
                  <w:b w:val="false"/>
                  <w:color w:val="000080"/>
                  <w:sz w:val="18"/>
                  <w:u w:val="single"/>
                </w:rPr>
                <w:t>June</w:t>
              </w:r>
            </w:hyperlink>
            <w:hyperlink w:anchor="gxo2026q210-qexx311ceo.htm">
              <w:r>
                <w:rPr>
                  <w:rStyle w:val="InternetLink"/>
                  <w:rFonts w:ascii="Times New Roman;serif" w:hAnsi="Times New Roman;serif"/>
                  <w:b w:val="false"/>
                  <w:color w:val="000080"/>
                  <w:sz w:val="18"/>
                  <w:u w:val="single"/>
                </w:rPr>
                <w:t xml:space="preserve"> 3</w:t>
              </w:r>
            </w:hyperlink>
            <w:hyperlink w:anchor="gxo2026q210-qexx311ceo.htm">
              <w:r>
                <w:rPr>
                  <w:rStyle w:val="InternetLink"/>
                  <w:rFonts w:ascii="Times New Roman;serif" w:hAnsi="Times New Roman;serif"/>
                  <w:b w:val="false"/>
                  <w:color w:val="000080"/>
                  <w:sz w:val="18"/>
                  <w:u w:val="single"/>
                </w:rPr>
                <w:t>0</w:t>
              </w:r>
            </w:hyperlink>
            <w:hyperlink w:anchor="gxo2026q210-qexx311ceo.htm">
              <w:r>
                <w:rPr>
                  <w:rStyle w:val="InternetLink"/>
                  <w:rFonts w:ascii="Times New Roman;serif" w:hAnsi="Times New Roman;serif"/>
                  <w:b w:val="false"/>
                  <w:color w:val="000080"/>
                  <w:sz w:val="18"/>
                  <w:u w:val="single"/>
                </w:rPr>
                <w:t>,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210-qexx312cfo.htm">
              <w:r>
                <w:rPr>
                  <w:rStyle w:val="InternetLink"/>
                  <w:rFonts w:ascii="Times New Roman;serif" w:hAnsi="Times New Roman;serif"/>
                  <w:b w:val="false"/>
                  <w:color w:val="000080"/>
                  <w:sz w:val="18"/>
                  <w:u w:val="single"/>
                </w:rPr>
                <w:t xml:space="preserve">Certification of the Principal Financial Officer pursuant to Section 302 of the Sarbanes-Oxley Act of 2002, with respect to the registrant’s Quarterly Report on Form 10-Q for the fiscal quarter ended </w:t>
              </w:r>
            </w:hyperlink>
            <w:hyperlink w:anchor="gxo2026q210-qexx312cfo.htm">
              <w:r>
                <w:rPr>
                  <w:rStyle w:val="InternetLink"/>
                  <w:rFonts w:ascii="Times New Roman;serif" w:hAnsi="Times New Roman;serif"/>
                  <w:b w:val="false"/>
                  <w:color w:val="000080"/>
                  <w:sz w:val="18"/>
                  <w:u w:val="single"/>
                </w:rPr>
                <w:t>June</w:t>
              </w:r>
            </w:hyperlink>
            <w:hyperlink w:anchor="gxo2026q210-qexx312cfo.htm">
              <w:r>
                <w:rPr>
                  <w:rStyle w:val="InternetLink"/>
                  <w:rFonts w:ascii="Times New Roman;serif" w:hAnsi="Times New Roman;serif"/>
                  <w:b w:val="false"/>
                  <w:color w:val="000080"/>
                  <w:sz w:val="18"/>
                  <w:u w:val="single"/>
                </w:rPr>
                <w:t xml:space="preserve"> 3</w:t>
              </w:r>
            </w:hyperlink>
            <w:hyperlink w:anchor="gxo2026q210-qexx312cfo.htm">
              <w:r>
                <w:rPr>
                  <w:rStyle w:val="InternetLink"/>
                  <w:rFonts w:ascii="Times New Roman;serif" w:hAnsi="Times New Roman;serif"/>
                  <w:b w:val="false"/>
                  <w:color w:val="000080"/>
                  <w:sz w:val="18"/>
                  <w:u w:val="single"/>
                </w:rPr>
                <w:t>0</w:t>
              </w:r>
            </w:hyperlink>
            <w:hyperlink w:anchor="gxo2026q210-qexx312cfo.htm">
              <w:r>
                <w:rPr>
                  <w:rStyle w:val="InternetLink"/>
                  <w:rFonts w:ascii="Times New Roman;serif" w:hAnsi="Times New Roman;serif"/>
                  <w:b w:val="false"/>
                  <w:color w:val="000080"/>
                  <w:sz w:val="18"/>
                  <w:u w:val="single"/>
                </w:rPr>
                <w:t>,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210-qexx321ceo.htm">
              <w:r>
                <w:rPr>
                  <w:rStyle w:val="InternetLink"/>
                  <w:rFonts w:ascii="Times New Roman;serif" w:hAnsi="Times New Roman;serif"/>
                  <w:b w:val="false"/>
                  <w:color w:val="000080"/>
                  <w:sz w:val="18"/>
                  <w:u w:val="single"/>
                </w:rPr>
                <w:t xml:space="preserve">Certification of the Principal Executive Officer Pursuant to Section 906 of the Sarbanes-Oxley Act of 2002, with respect to the registrant’s Quarterly Report on Form 10-Q for the fiscal quarter ended </w:t>
              </w:r>
            </w:hyperlink>
            <w:hyperlink w:anchor="gxo2026q210-qexx321ceo.htm">
              <w:r>
                <w:rPr>
                  <w:rStyle w:val="InternetLink"/>
                  <w:rFonts w:ascii="Times New Roman;serif" w:hAnsi="Times New Roman;serif"/>
                  <w:b w:val="false"/>
                  <w:color w:val="000080"/>
                  <w:sz w:val="18"/>
                  <w:u w:val="single"/>
                </w:rPr>
                <w:t>June</w:t>
              </w:r>
            </w:hyperlink>
            <w:hyperlink w:anchor="gxo2026q210-qexx321ceo.htm">
              <w:r>
                <w:rPr>
                  <w:rStyle w:val="InternetLink"/>
                  <w:rFonts w:ascii="Times New Roman;serif" w:hAnsi="Times New Roman;serif"/>
                  <w:b w:val="false"/>
                  <w:color w:val="000080"/>
                  <w:sz w:val="18"/>
                  <w:u w:val="single"/>
                </w:rPr>
                <w:t xml:space="preserve"> 3</w:t>
              </w:r>
            </w:hyperlink>
            <w:hyperlink w:anchor="gxo2026q210-qexx321ceo.htm">
              <w:r>
                <w:rPr>
                  <w:rStyle w:val="InternetLink"/>
                  <w:rFonts w:ascii="Times New Roman;serif" w:hAnsi="Times New Roman;serif"/>
                  <w:b w:val="false"/>
                  <w:color w:val="000080"/>
                  <w:sz w:val="18"/>
                  <w:u w:val="single"/>
                </w:rPr>
                <w:t>0</w:t>
              </w:r>
            </w:hyperlink>
            <w:hyperlink w:anchor="gxo2026q210-qexx321ceo.htm">
              <w:r>
                <w:rPr>
                  <w:rStyle w:val="InternetLink"/>
                  <w:rFonts w:ascii="Times New Roman;serif" w:hAnsi="Times New Roman;serif"/>
                  <w:b w:val="false"/>
                  <w:color w:val="000080"/>
                  <w:sz w:val="18"/>
                  <w:u w:val="single"/>
                </w:rPr>
                <w:t>,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xo2026q210-qexx322cfo.htm">
              <w:r>
                <w:rPr>
                  <w:rStyle w:val="InternetLink"/>
                  <w:rFonts w:ascii="Times New Roman;serif" w:hAnsi="Times New Roman;serif"/>
                  <w:b w:val="false"/>
                  <w:color w:val="000080"/>
                  <w:sz w:val="18"/>
                  <w:u w:val="single"/>
                </w:rPr>
                <w:t xml:space="preserve">Certification of the Principal Financial Officer Pursuant to Section 906 of the Sarbanes-Oxley Act of 2002, with respect to the registrant’s Quarterly Report on Form 10-Q for the fiscal quarter ended </w:t>
              </w:r>
            </w:hyperlink>
            <w:hyperlink w:anchor="gxo2026q210-qexx322cfo.htm">
              <w:r>
                <w:rPr>
                  <w:rStyle w:val="InternetLink"/>
                  <w:rFonts w:ascii="Times New Roman;serif" w:hAnsi="Times New Roman;serif"/>
                  <w:b w:val="false"/>
                  <w:color w:val="000080"/>
                  <w:sz w:val="18"/>
                  <w:u w:val="single"/>
                </w:rPr>
                <w:t>June</w:t>
              </w:r>
            </w:hyperlink>
            <w:hyperlink w:anchor="gxo2026q210-qexx322cfo.htm">
              <w:r>
                <w:rPr>
                  <w:rStyle w:val="InternetLink"/>
                  <w:rFonts w:ascii="Times New Roman;serif" w:hAnsi="Times New Roman;serif"/>
                  <w:b w:val="false"/>
                  <w:color w:val="000080"/>
                  <w:sz w:val="18"/>
                  <w:u w:val="single"/>
                </w:rPr>
                <w:t xml:space="preserve"> 3</w:t>
              </w:r>
            </w:hyperlink>
            <w:hyperlink w:anchor="gxo2026q210-qexx322cfo.htm">
              <w:r>
                <w:rPr>
                  <w:rStyle w:val="InternetLink"/>
                  <w:rFonts w:ascii="Times New Roman;serif" w:hAnsi="Times New Roman;serif"/>
                  <w:b w:val="false"/>
                  <w:color w:val="000080"/>
                  <w:sz w:val="18"/>
                  <w:u w:val="single"/>
                </w:rPr>
                <w:t>0</w:t>
              </w:r>
            </w:hyperlink>
            <w:hyperlink w:anchor="gxo2026q210-qexx322cfo.htm">
              <w:r>
                <w:rPr>
                  <w:rStyle w:val="InternetLink"/>
                  <w:rFonts w:ascii="Times New Roman;serif" w:hAnsi="Times New Roman;serif"/>
                  <w:b w:val="false"/>
                  <w:color w:val="000080"/>
                  <w:sz w:val="18"/>
                  <w:u w:val="single"/>
                </w:rPr>
                <w:t>, 2026.</w:t>
              </w:r>
            </w:hyperlink>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722" w:type="dxa"/>
        <w:jc w:val="center"/>
        <w:tblInd w:w="0" w:type="dxa"/>
        <w:tblLayout w:type="fixed"/>
        <w:tblCellMar>
          <w:top w:w="28" w:type="dxa"/>
          <w:left w:w="28" w:type="dxa"/>
          <w:bottom w:w="28" w:type="dxa"/>
          <w:right w:w="28" w:type="dxa"/>
        </w:tblCellMar>
      </w:tblPr>
      <w:tblGrid>
        <w:gridCol w:w="667"/>
        <w:gridCol w:w="587"/>
        <w:gridCol w:w="590"/>
        <w:gridCol w:w="134"/>
        <w:gridCol w:w="134"/>
        <w:gridCol w:w="136"/>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GXO Logistics,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Patrick Kelleher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Kelleher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333" w:before="24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333" w:before="240" w:after="283"/>
        <w:jc w:val="left"/>
        <w:rPr>
          <w:rFonts w:ascii="Times New Roman;serif" w:hAnsi="Times New Roman;serif"/>
          <w:b w:val="false"/>
          <w:color w:val="000000"/>
          <w:sz w:val="18"/>
        </w:rPr>
      </w:pPr>
      <w:r>
        <w:rPr>
          <w:rFonts w:ascii="Times New Roman;serif" w:hAnsi="Times New Roman;serif"/>
          <w:b w:val="false"/>
          <w:color w:val="000000"/>
          <w:sz w:val="18"/>
        </w:rPr>
        <w:t>I, Patrick Kelleher, certify that: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for the quarter ended June 30, 2026 of GXO Logistics, Inc.;</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jc w:val="left"/>
        <w:rPr/>
      </w:pPr>
      <w:r>
        <w:rPr/>
      </w:r>
    </w:p>
    <w:tbl>
      <w:tblPr>
        <w:tblW w:w="3838" w:type="dxa"/>
        <w:jc w:val="left"/>
        <w:tblInd w:w="0" w:type="dxa"/>
        <w:tblLayout w:type="fixed"/>
        <w:tblCellMar>
          <w:top w:w="28" w:type="dxa"/>
          <w:left w:w="28" w:type="dxa"/>
          <w:bottom w:w="28" w:type="dxa"/>
          <w:right w:w="28" w:type="dxa"/>
        </w:tblCellMar>
      </w:tblPr>
      <w:tblGrid>
        <w:gridCol w:w="595"/>
        <w:gridCol w:w="525"/>
        <w:gridCol w:w="529"/>
        <w:gridCol w:w="641"/>
        <w:gridCol w:w="641"/>
        <w:gridCol w:w="907"/>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Patrick Kelleher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Patrick Kelleher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333" w:before="24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333" w:before="240" w:after="283"/>
        <w:jc w:val="left"/>
        <w:rPr/>
      </w:pPr>
      <w:r>
        <w:rPr>
          <w:rFonts w:ascii="Times New Roman;serif" w:hAnsi="Times New Roman;serif"/>
          <w:b w:val="false"/>
          <w:color w:val="000000"/>
          <w:sz w:val="18"/>
        </w:rPr>
        <w:t xml:space="preserve">I, </w:t>
      </w:r>
      <w:r>
        <w:rPr>
          <w:rFonts w:ascii="Times New Roman;serif" w:hAnsi="Times New Roman;serif"/>
          <w:b w:val="false"/>
          <w:color w:val="000000"/>
          <w:sz w:val="20"/>
        </w:rPr>
        <w:t>Mark Suchinski</w:t>
      </w:r>
      <w:r>
        <w:rPr>
          <w:rFonts w:ascii="Times New Roman;serif" w:hAnsi="Times New Roman;serif"/>
          <w:b w:val="false"/>
          <w:color w:val="000000"/>
          <w:sz w:val="18"/>
        </w:rPr>
        <w:t>, certify that: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for the quarter ended June 30, 2026 of GXO Logistics, Inc.;</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jc w:val="left"/>
        <w:rPr/>
      </w:pPr>
      <w:r>
        <w:rPr/>
      </w:r>
    </w:p>
    <w:tbl>
      <w:tblPr>
        <w:tblW w:w="3793" w:type="dxa"/>
        <w:jc w:val="left"/>
        <w:tblInd w:w="0" w:type="dxa"/>
        <w:tblLayout w:type="fixed"/>
        <w:tblCellMar>
          <w:top w:w="28" w:type="dxa"/>
          <w:left w:w="28" w:type="dxa"/>
          <w:bottom w:w="28" w:type="dxa"/>
          <w:right w:w="28" w:type="dxa"/>
        </w:tblCellMar>
      </w:tblPr>
      <w:tblGrid>
        <w:gridCol w:w="595"/>
        <w:gridCol w:w="525"/>
        <w:gridCol w:w="529"/>
        <w:gridCol w:w="626"/>
        <w:gridCol w:w="626"/>
        <w:gridCol w:w="892"/>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Mark Suchinski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 Suchinski</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5, 2026</w:t>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June 30,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lineRule="auto" w:line="333" w:before="0" w:after="220"/>
        <w:jc w:val="left"/>
        <w:rPr>
          <w:color w:val="000000"/>
        </w:rPr>
      </w:pPr>
      <w:r>
        <w:rPr>
          <w:color w:val="000000"/>
        </w:rPr>
        <w:t> </w:t>
      </w:r>
    </w:p>
    <w:tbl>
      <w:tblPr>
        <w:tblW w:w="4318" w:type="dxa"/>
        <w:jc w:val="left"/>
        <w:tblInd w:w="0" w:type="dxa"/>
        <w:tblLayout w:type="fixed"/>
        <w:tblCellMar>
          <w:top w:w="28" w:type="dxa"/>
          <w:left w:w="28" w:type="dxa"/>
          <w:bottom w:w="28" w:type="dxa"/>
          <w:right w:w="28" w:type="dxa"/>
        </w:tblCellMar>
      </w:tblPr>
      <w:tblGrid>
        <w:gridCol w:w="667"/>
        <w:gridCol w:w="587"/>
        <w:gridCol w:w="590"/>
        <w:gridCol w:w="724"/>
        <w:gridCol w:w="724"/>
        <w:gridCol w:w="102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Kelleher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Kelleher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June 30, 2026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pStyle w:val="TextBody"/>
        <w:bidi w:val="0"/>
        <w:spacing w:lineRule="auto" w:line="333" w:before="0" w:after="220"/>
        <w:jc w:val="left"/>
        <w:rPr>
          <w:color w:val="000000"/>
        </w:rPr>
      </w:pPr>
      <w:r>
        <w:rPr>
          <w:color w:val="000000"/>
        </w:rPr>
        <w:t> </w:t>
      </w:r>
    </w:p>
    <w:tbl>
      <w:tblPr>
        <w:tblW w:w="4258" w:type="dxa"/>
        <w:jc w:val="left"/>
        <w:tblInd w:w="0" w:type="dxa"/>
        <w:tblLayout w:type="fixed"/>
        <w:tblCellMar>
          <w:top w:w="28" w:type="dxa"/>
          <w:left w:w="28" w:type="dxa"/>
          <w:bottom w:w="28" w:type="dxa"/>
          <w:right w:w="28" w:type="dxa"/>
        </w:tblCellMar>
      </w:tblPr>
      <w:tblGrid>
        <w:gridCol w:w="667"/>
        <w:gridCol w:w="587"/>
        <w:gridCol w:w="590"/>
        <w:gridCol w:w="706"/>
        <w:gridCol w:w="706"/>
        <w:gridCol w:w="10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2244/000185224426000007/gxo2025q4subsidiaryguaran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12845</Words>
  <Characters>68382</Characters>
  <CharactersWithSpaces>79608</CharactersWithSpaces>
  <Paragraphs>2946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