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1"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20" w:hanging="494"/>
        <w:spacing w:after="0" w:line="222" w:lineRule="auto"/>
        <w:tabs>
          <w:tab w:leader="none" w:pos="52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001-40470</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5715</wp:posOffset>
            </wp:positionV>
            <wp:extent cx="85725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34290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85" w:lineRule="exact"/>
        <w:rPr>
          <w:sz w:val="24"/>
          <w:szCs w:val="24"/>
          <w:color w:val="auto"/>
        </w:rPr>
      </w:pPr>
    </w:p>
    <w:tbl>
      <w:tblPr>
        <w:tblLayout w:type="fixed"/>
        <w:tblInd w:w="640" w:type="dxa"/>
        <w:tblCellMar>
          <w:top w:w="0" w:type="dxa"/>
          <w:left w:w="0" w:type="dxa"/>
          <w:bottom w:w="0" w:type="dxa"/>
          <w:right w:w="0" w:type="dxa"/>
        </w:tblCellMar>
      </w:tblPr>
      <w:tr>
        <w:trPr>
          <w:trHeight w:val="24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760" w:type="dxa"/>
            <w:vAlign w:val="bottom"/>
          </w:tcPr>
          <w:p>
            <w:pPr>
              <w:jc w:val="right"/>
              <w:ind w:right="770"/>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338"/>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60" w:type="dxa"/>
            <w:vAlign w:val="bottom"/>
          </w:tcPr>
          <w:p>
            <w:pPr>
              <w:jc w:val="center"/>
              <w:ind w:left="207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79"/>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Two American Lane</w:t>
            </w:r>
          </w:p>
        </w:tc>
        <w:tc>
          <w:tcPr>
            <w:tcW w:w="4760" w:type="dxa"/>
            <w:vAlign w:val="bottom"/>
            <w:vMerge w:val="restart"/>
          </w:tcPr>
          <w:p>
            <w:pPr>
              <w:jc w:val="right"/>
              <w:ind w:right="990"/>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140"/>
        </w:trPr>
        <w:tc>
          <w:tcPr>
            <w:tcW w:w="4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Greenwich, Connecticut</w:t>
            </w:r>
          </w:p>
        </w:tc>
        <w:tc>
          <w:tcPr>
            <w:tcW w:w="4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360" w:type="dxa"/>
            <w:vAlign w:val="bottom"/>
            <w:vMerge w:val="continue"/>
          </w:tcPr>
          <w:p>
            <w:pPr>
              <w:spacing w:after="0"/>
              <w:rPr>
                <w:sz w:val="8"/>
                <w:szCs w:val="8"/>
                <w:color w:val="auto"/>
              </w:rPr>
            </w:pPr>
          </w:p>
        </w:tc>
        <w:tc>
          <w:tcPr>
            <w:tcW w:w="4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60" w:type="dxa"/>
            <w:vAlign w:val="bottom"/>
          </w:tcPr>
          <w:p>
            <w:pPr>
              <w:jc w:val="center"/>
              <w:ind w:left="20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4"/>
                <w:szCs w:val="24"/>
                <w:color w:val="auto"/>
              </w:rPr>
            </w:pPr>
          </w:p>
        </w:tc>
        <w:tc>
          <w:tcPr>
            <w:tcW w:w="4760" w:type="dxa"/>
            <w:vAlign w:val="bottom"/>
          </w:tcPr>
          <w:p>
            <w:pPr>
              <w:jc w:val="right"/>
              <w:ind w:right="3490"/>
              <w:spacing w:after="0"/>
              <w:rPr>
                <w:sz w:val="20"/>
                <w:szCs w:val="20"/>
                <w:color w:val="auto"/>
              </w:rPr>
            </w:pPr>
            <w:r>
              <w:rPr>
                <w:rFonts w:ascii="Arial" w:cs="Arial" w:eastAsia="Arial" w:hAnsi="Arial"/>
                <w:sz w:val="18"/>
                <w:szCs w:val="18"/>
                <w:b w:val="1"/>
                <w:bCs w:val="1"/>
                <w:color w:val="auto"/>
                <w:w w:val="94"/>
              </w:rPr>
              <w:t>(203) 489-1287</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50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Title of each class</w:t>
            </w:r>
          </w:p>
        </w:tc>
        <w:tc>
          <w:tcPr>
            <w:tcW w:w="24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GXO</w:t>
            </w:r>
          </w:p>
        </w:tc>
        <w:tc>
          <w:tcPr>
            <w:tcW w:w="8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4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52" w:lineRule="exact"/>
        <w:rPr>
          <w:sz w:val="24"/>
          <w:szCs w:val="24"/>
          <w:color w:val="auto"/>
        </w:rPr>
      </w:pPr>
    </w:p>
    <w:p>
      <w:pPr>
        <w:ind w:left="420"/>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61" w:lineRule="exact"/>
        <w:rPr>
          <w:sz w:val="24"/>
          <w:szCs w:val="24"/>
          <w:color w:val="auto"/>
        </w:rPr>
      </w:pPr>
    </w:p>
    <w:p>
      <w:pPr>
        <w:ind w:right="60" w:firstLine="405"/>
        <w:spacing w:after="0" w:line="263"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11" w:lineRule="exact"/>
        <w:rPr>
          <w:sz w:val="24"/>
          <w:szCs w:val="24"/>
          <w:color w:val="auto"/>
        </w:rPr>
      </w:pPr>
    </w:p>
    <w:p>
      <w:pPr>
        <w:ind w:right="140" w:firstLine="405"/>
        <w:spacing w:after="0" w:line="263"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11" w:lineRule="exact"/>
        <w:rPr>
          <w:sz w:val="24"/>
          <w:szCs w:val="24"/>
          <w:color w:val="auto"/>
        </w:rPr>
      </w:pPr>
    </w:p>
    <w:p>
      <w:pPr>
        <w:ind w:right="12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 w:lineRule="exact"/>
        <w:rPr>
          <w:sz w:val="24"/>
          <w:szCs w:val="24"/>
          <w:color w:val="auto"/>
        </w:rPr>
      </w:pPr>
    </w:p>
    <w:tbl>
      <w:tblPr>
        <w:tblLayout w:type="fixed"/>
        <w:tblInd w:w="18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060" w:type="dxa"/>
            <w:vAlign w:val="bottom"/>
          </w:tcPr>
          <w:p>
            <w:pPr>
              <w:ind w:left="580"/>
              <w:spacing w:after="0"/>
              <w:rPr>
                <w:sz w:val="20"/>
                <w:szCs w:val="20"/>
                <w:color w:val="auto"/>
              </w:rPr>
            </w:pPr>
            <w:r>
              <w:rPr>
                <w:rFonts w:ascii="Arial" w:cs="Arial" w:eastAsia="Arial" w:hAnsi="Arial"/>
                <w:sz w:val="18"/>
                <w:szCs w:val="18"/>
                <w:color w:val="auto"/>
              </w:rPr>
              <w:t>Accelerated filer</w:t>
            </w:r>
          </w:p>
        </w:tc>
      </w:tr>
      <w:tr>
        <w:trPr>
          <w:trHeight w:val="239"/>
        </w:trPr>
        <w:tc>
          <w:tcPr>
            <w:tcW w:w="3740" w:type="dxa"/>
            <w:vAlign w:val="bottom"/>
          </w:tcPr>
          <w:p>
            <w:pPr>
              <w:jc w:val="right"/>
              <w:ind w:right="510"/>
              <w:spacing w:after="0"/>
              <w:rPr>
                <w:sz w:val="20"/>
                <w:szCs w:val="20"/>
                <w:color w:val="auto"/>
              </w:rPr>
            </w:pPr>
            <w:r>
              <w:rPr>
                <w:rFonts w:ascii="Arial" w:cs="Arial" w:eastAsia="Arial" w:hAnsi="Arial"/>
                <w:sz w:val="18"/>
                <w:szCs w:val="18"/>
                <w:b w:val="1"/>
                <w:bCs w:val="1"/>
                <w:color w:val="auto"/>
              </w:rPr>
              <w:t>x</w:t>
            </w:r>
          </w:p>
        </w:tc>
        <w:tc>
          <w:tcPr>
            <w:tcW w:w="4060" w:type="dxa"/>
            <w:vAlign w:val="bottom"/>
          </w:tcPr>
          <w:p>
            <w:pPr>
              <w:ind w:left="3960"/>
              <w:spacing w:after="0"/>
              <w:rPr>
                <w:sz w:val="20"/>
                <w:szCs w:val="20"/>
                <w:color w:val="auto"/>
              </w:rPr>
            </w:pPr>
            <w:r>
              <w:rPr>
                <w:rFonts w:ascii="Arial" w:cs="Arial" w:eastAsia="Arial" w:hAnsi="Arial"/>
                <w:sz w:val="18"/>
                <w:szCs w:val="18"/>
                <w:b w:val="1"/>
                <w:bCs w:val="1"/>
                <w:color w:val="auto"/>
                <w:w w:val="72"/>
              </w:rPr>
              <w:t>o</w:t>
            </w:r>
          </w:p>
        </w:tc>
      </w:tr>
      <w:tr>
        <w:trPr>
          <w:trHeight w:val="247"/>
        </w:trPr>
        <w:tc>
          <w:tcPr>
            <w:tcW w:w="3740" w:type="dxa"/>
            <w:vAlign w:val="bottom"/>
          </w:tcPr>
          <w:p>
            <w:pPr>
              <w:spacing w:after="0"/>
              <w:rPr>
                <w:sz w:val="20"/>
                <w:szCs w:val="20"/>
                <w:color w:val="auto"/>
              </w:rPr>
            </w:pPr>
            <w:r>
              <w:rPr>
                <w:rFonts w:ascii="Arial" w:cs="Arial" w:eastAsia="Arial" w:hAnsi="Arial"/>
                <w:sz w:val="18"/>
                <w:szCs w:val="18"/>
                <w:color w:val="auto"/>
              </w:rPr>
              <w:t>Non-accelerated filer</w:t>
            </w:r>
          </w:p>
        </w:tc>
        <w:tc>
          <w:tcPr>
            <w:tcW w:w="40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r>
      <w:tr>
        <w:trPr>
          <w:trHeight w:val="239"/>
        </w:trPr>
        <w:tc>
          <w:tcPr>
            <w:tcW w:w="3740" w:type="dxa"/>
            <w:vAlign w:val="bottom"/>
          </w:tcPr>
          <w:p>
            <w:pPr>
              <w:jc w:val="right"/>
              <w:ind w:right="510"/>
              <w:spacing w:after="0"/>
              <w:rPr>
                <w:sz w:val="20"/>
                <w:szCs w:val="20"/>
                <w:color w:val="auto"/>
              </w:rPr>
            </w:pPr>
            <w:r>
              <w:rPr>
                <w:rFonts w:ascii="Arial" w:cs="Arial" w:eastAsia="Arial" w:hAnsi="Arial"/>
                <w:sz w:val="18"/>
                <w:szCs w:val="18"/>
                <w:b w:val="1"/>
                <w:bCs w:val="1"/>
                <w:color w:val="auto"/>
              </w:rPr>
              <w:t>o</w:t>
            </w:r>
          </w:p>
        </w:tc>
        <w:tc>
          <w:tcPr>
            <w:tcW w:w="4060" w:type="dxa"/>
            <w:vAlign w:val="bottom"/>
          </w:tcPr>
          <w:p>
            <w:pPr>
              <w:ind w:left="3960"/>
              <w:spacing w:after="0"/>
              <w:rPr>
                <w:sz w:val="20"/>
                <w:szCs w:val="20"/>
                <w:color w:val="auto"/>
              </w:rPr>
            </w:pPr>
            <w:r>
              <w:rPr>
                <w:rFonts w:ascii="Arial" w:cs="Arial" w:eastAsia="Arial" w:hAnsi="Arial"/>
                <w:sz w:val="18"/>
                <w:szCs w:val="18"/>
                <w:b w:val="1"/>
                <w:bCs w:val="1"/>
                <w:color w:val="auto"/>
                <w:w w:val="72"/>
              </w:rPr>
              <w:t>o</w:t>
            </w:r>
          </w:p>
        </w:tc>
      </w:tr>
      <w:tr>
        <w:trPr>
          <w:trHeight w:val="247"/>
        </w:trPr>
        <w:tc>
          <w:tcPr>
            <w:tcW w:w="3740" w:type="dxa"/>
            <w:vAlign w:val="bottom"/>
          </w:tcPr>
          <w:p>
            <w:pPr>
              <w:spacing w:after="0"/>
              <w:rPr>
                <w:sz w:val="21"/>
                <w:szCs w:val="21"/>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Emerging growth company</w:t>
            </w:r>
          </w:p>
        </w:tc>
      </w:tr>
      <w:tr>
        <w:trPr>
          <w:trHeight w:val="239"/>
        </w:trPr>
        <w:tc>
          <w:tcPr>
            <w:tcW w:w="3740" w:type="dxa"/>
            <w:vAlign w:val="bottom"/>
          </w:tcPr>
          <w:p>
            <w:pPr>
              <w:spacing w:after="0"/>
              <w:rPr>
                <w:sz w:val="20"/>
                <w:szCs w:val="20"/>
                <w:color w:val="auto"/>
              </w:rPr>
            </w:pPr>
          </w:p>
        </w:tc>
        <w:tc>
          <w:tcPr>
            <w:tcW w:w="4060" w:type="dxa"/>
            <w:vAlign w:val="bottom"/>
          </w:tcPr>
          <w:p>
            <w:pPr>
              <w:ind w:left="3960"/>
              <w:spacing w:after="0"/>
              <w:rPr>
                <w:sz w:val="20"/>
                <w:szCs w:val="20"/>
                <w:color w:val="auto"/>
              </w:rPr>
            </w:pPr>
            <w:r>
              <w:rPr>
                <w:rFonts w:ascii="Arial" w:cs="Arial" w:eastAsia="Arial" w:hAnsi="Arial"/>
                <w:sz w:val="18"/>
                <w:szCs w:val="18"/>
                <w:b w:val="1"/>
                <w:bCs w:val="1"/>
                <w:color w:val="auto"/>
                <w:w w:val="72"/>
              </w:rPr>
              <w:t>o</w:t>
            </w:r>
          </w:p>
        </w:tc>
      </w:tr>
    </w:tbl>
    <w:p>
      <w:pPr>
        <w:spacing w:after="0" w:line="327" w:lineRule="exact"/>
        <w:rPr>
          <w:sz w:val="24"/>
          <w:szCs w:val="24"/>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ectPr>
          <w:pgSz w:w="11900" w:h="16838" w:orient="portrait"/>
          <w:cols w:equalWidth="0" w:num="1">
            <w:col w:w="11240"/>
          </w:cols>
          <w:pgMar w:left="320" w:top="1440" w:right="339" w:bottom="78" w:gutter="0" w:footer="0" w:header="0"/>
        </w:sectPr>
      </w:pPr>
    </w:p>
    <w:bookmarkStart w:id="1" w:name="page2"/>
    <w:bookmarkEnd w:id="1"/>
    <w:p>
      <w:pPr>
        <w:ind w:firstLine="405"/>
        <w:spacing w:after="0" w:line="263" w:lineRule="auto"/>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8"/>
          <w:szCs w:val="18"/>
          <w:b w:val="1"/>
          <w:bCs w:val="1"/>
          <w:color w:val="auto"/>
        </w:rPr>
        <w:t>x</w:t>
      </w:r>
    </w:p>
    <w:p>
      <w:pPr>
        <w:spacing w:after="0" w:line="21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b w:val="1"/>
          <w:bCs w:val="1"/>
          <w:color w:val="auto"/>
        </w:rPr>
        <w:t>o</w:t>
      </w:r>
    </w:p>
    <w:p>
      <w:pPr>
        <w:spacing w:after="0" w:line="197"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7"/>
          <w:szCs w:val="17"/>
          <w:b w:val="1"/>
          <w:bCs w:val="1"/>
          <w:color w:val="auto"/>
        </w:rPr>
        <w:t>o</w:t>
      </w:r>
    </w:p>
    <w:p>
      <w:pPr>
        <w:spacing w:after="0" w:line="141" w:lineRule="exact"/>
        <w:rPr>
          <w:sz w:val="20"/>
          <w:szCs w:val="20"/>
          <w:color w:val="auto"/>
        </w:rPr>
      </w:pPr>
    </w:p>
    <w:p>
      <w:pPr>
        <w:ind w:left="4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8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$4.8 billion as of June 30, 2022, based upon the closing price of the common stock on that date.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13, 2023, there were 118,775,811 shares of the registrant’s common stock, par value $0.01 per share, outstanding.</w:t>
      </w:r>
    </w:p>
    <w:p>
      <w:pPr>
        <w:spacing w:after="0" w:line="248"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Specified portions of the registrant’s proxy statement, which will be filed with the Securities and Exchange Commission pursuant to Regulation 14A in connection with the registrant’s 2023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92"/>
              </w:rPr>
              <w:t>GXO Logistics, Inc.</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6"/>
              </w:rPr>
              <w:t>Form 10-K</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8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89"/>
              </w:rPr>
              <w:t>Table of Contents</w:t>
            </w:r>
          </w:p>
        </w:tc>
        <w:tc>
          <w:tcPr>
            <w:tcW w:w="1320" w:type="dxa"/>
            <w:vAlign w:val="bottom"/>
            <w:gridSpan w:val="3"/>
            <w:vMerge w:val="restart"/>
          </w:tcPr>
          <w:p>
            <w:pPr>
              <w:ind w:left="4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9900" w:type="dxa"/>
            <w:vAlign w:val="bottom"/>
            <w:gridSpan w:val="24"/>
            <w:vMerge w:val="restart"/>
          </w:tcPr>
          <w:p>
            <w:pPr>
              <w:spacing w:after="0"/>
              <w:rPr>
                <w:sz w:val="20"/>
                <w:szCs w:val="20"/>
                <w:color w:val="auto"/>
              </w:rPr>
            </w:pPr>
            <w:r>
              <w:rPr>
                <w:rFonts w:ascii="Arial" w:cs="Arial" w:eastAsia="Arial" w:hAnsi="Arial"/>
                <w:sz w:val="18"/>
                <w:szCs w:val="18"/>
                <w:color w:val="0000FF"/>
              </w:rPr>
              <w:t>Part I</w:t>
            </w:r>
          </w:p>
        </w:tc>
        <w:tc>
          <w:tcPr>
            <w:tcW w:w="132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900" w:type="dxa"/>
            <w:vAlign w:val="bottom"/>
            <w:gridSpan w:val="24"/>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1. Business</w:t>
            </w:r>
          </w:p>
        </w:tc>
        <w:tc>
          <w:tcPr>
            <w:tcW w:w="700" w:type="dxa"/>
            <w:vAlign w:val="bottom"/>
            <w:gridSpan w:val="2"/>
          </w:tcPr>
          <w:p>
            <w:pPr>
              <w:jc w:val="center"/>
              <w:ind w:left="530"/>
              <w:spacing w:after="0"/>
              <w:rPr>
                <w:sz w:val="20"/>
                <w:szCs w:val="20"/>
                <w:color w:val="auto"/>
              </w:rPr>
            </w:pPr>
            <w:r>
              <w:rPr>
                <w:rFonts w:ascii="Arial" w:cs="Arial" w:eastAsia="Arial" w:hAnsi="Arial"/>
                <w:sz w:val="18"/>
                <w:szCs w:val="18"/>
                <w:color w:val="0000FF"/>
                <w:w w:val="79"/>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1A. Risk Factors</w:t>
            </w:r>
          </w:p>
        </w:tc>
        <w:tc>
          <w:tcPr>
            <w:tcW w:w="700" w:type="dxa"/>
            <w:vAlign w:val="bottom"/>
            <w:gridSpan w:val="2"/>
          </w:tcPr>
          <w:p>
            <w:pPr>
              <w:jc w:val="center"/>
              <w:ind w:left="530"/>
              <w:spacing w:after="0"/>
              <w:rPr>
                <w:sz w:val="20"/>
                <w:szCs w:val="20"/>
                <w:color w:val="auto"/>
              </w:rPr>
            </w:pPr>
            <w:r>
              <w:rPr>
                <w:rFonts w:ascii="Arial" w:cs="Arial" w:eastAsia="Arial" w:hAnsi="Arial"/>
                <w:sz w:val="18"/>
                <w:szCs w:val="18"/>
                <w:color w:val="0000FF"/>
                <w:w w:val="79"/>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Arial" w:cs="Arial" w:eastAsia="Arial" w:hAnsi="Arial"/>
                <w:sz w:val="18"/>
                <w:szCs w:val="18"/>
                <w:color w:val="0000FF"/>
                <w:w w:val="90"/>
              </w:rPr>
              <w:t>Item 1B. Unresolved Staff Comments</w:t>
            </w:r>
          </w:p>
        </w:tc>
        <w:tc>
          <w:tcPr>
            <w:tcW w:w="6680" w:type="dxa"/>
            <w:vAlign w:val="bottom"/>
            <w:gridSpan w:val="11"/>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w w:val="85"/>
              </w:rPr>
              <w:t>Item 2. Properties</w:t>
            </w:r>
          </w:p>
        </w:tc>
        <w:tc>
          <w:tcPr>
            <w:tcW w:w="1440" w:type="dxa"/>
            <w:vAlign w:val="bottom"/>
            <w:gridSpan w:val="7"/>
          </w:tcPr>
          <w:p>
            <w:pPr>
              <w:spacing w:after="0"/>
              <w:rPr>
                <w:sz w:val="18"/>
                <w:szCs w:val="18"/>
                <w:color w:val="auto"/>
              </w:rPr>
            </w:pPr>
          </w:p>
        </w:tc>
        <w:tc>
          <w:tcPr>
            <w:tcW w:w="6680" w:type="dxa"/>
            <w:vAlign w:val="bottom"/>
            <w:gridSpan w:val="11"/>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3. Legal Proceedings</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8"/>
                <w:szCs w:val="18"/>
                <w:color w:val="0000FF"/>
                <w:w w:val="90"/>
              </w:rPr>
              <w:t>Item 4. Mine Safety Disclosures</w:t>
            </w:r>
          </w:p>
        </w:tc>
        <w:tc>
          <w:tcPr>
            <w:tcW w:w="7080" w:type="dxa"/>
            <w:vAlign w:val="bottom"/>
            <w:gridSpan w:val="13"/>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0000FF"/>
                <w:w w:val="99"/>
              </w:rPr>
              <w:t>Part II</w:t>
            </w:r>
          </w:p>
        </w:tc>
        <w:tc>
          <w:tcPr>
            <w:tcW w:w="2300" w:type="dxa"/>
            <w:vAlign w:val="bottom"/>
            <w:tcBorders>
              <w:top w:val="single" w:sz="8" w:color="0000FF"/>
            </w:tcBorders>
            <w:gridSpan w:val="8"/>
          </w:tcPr>
          <w:p>
            <w:pPr>
              <w:spacing w:after="0"/>
              <w:rPr>
                <w:sz w:val="18"/>
                <w:szCs w:val="18"/>
                <w:color w:val="auto"/>
              </w:rPr>
            </w:pPr>
          </w:p>
        </w:tc>
        <w:tc>
          <w:tcPr>
            <w:tcW w:w="7080" w:type="dxa"/>
            <w:vAlign w:val="bottom"/>
            <w:gridSpan w:val="13"/>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600" w:type="dxa"/>
            <w:vAlign w:val="bottom"/>
            <w:gridSpan w:val="20"/>
          </w:tcPr>
          <w:p>
            <w:pPr>
              <w:spacing w:after="0"/>
              <w:rPr>
                <w:sz w:val="20"/>
                <w:szCs w:val="20"/>
                <w:color w:val="auto"/>
              </w:rPr>
            </w:pPr>
            <w:r>
              <w:rPr>
                <w:rFonts w:ascii="Arial" w:cs="Arial" w:eastAsia="Arial" w:hAnsi="Arial"/>
                <w:sz w:val="18"/>
                <w:szCs w:val="18"/>
                <w:color w:val="0000FF"/>
                <w:w w:val="90"/>
              </w:rPr>
              <w:t>Item 5. Market for Registrant’s Common Equity, Related Stockholder Matters and Issuer Purchases of Equity Securities</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w w:val="82"/>
              </w:rPr>
              <w:t>Item 6. [Reserved]</w:t>
            </w:r>
          </w:p>
        </w:tc>
        <w:tc>
          <w:tcPr>
            <w:tcW w:w="7340" w:type="dxa"/>
            <w:vAlign w:val="bottom"/>
            <w:gridSpan w:val="17"/>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80" w:type="dxa"/>
            <w:vAlign w:val="bottom"/>
            <w:gridSpan w:val="18"/>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240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60" w:type="dxa"/>
            <w:vAlign w:val="bottom"/>
            <w:gridSpan w:val="13"/>
          </w:tcPr>
          <w:p>
            <w:pPr>
              <w:spacing w:after="0"/>
              <w:rPr>
                <w:sz w:val="20"/>
                <w:szCs w:val="20"/>
                <w:color w:val="auto"/>
              </w:rPr>
            </w:pPr>
            <w:r>
              <w:rPr>
                <w:rFonts w:ascii="Arial" w:cs="Arial" w:eastAsia="Arial" w:hAnsi="Arial"/>
                <w:sz w:val="18"/>
                <w:szCs w:val="18"/>
                <w:color w:val="0000FF"/>
                <w:w w:val="88"/>
              </w:rPr>
              <w:t>Item 8. Financial Statements and Supplementary Data</w:t>
            </w:r>
          </w:p>
        </w:tc>
        <w:tc>
          <w:tcPr>
            <w:tcW w:w="1100" w:type="dxa"/>
            <w:vAlign w:val="bottom"/>
            <w:gridSpan w:val="2"/>
          </w:tcPr>
          <w:p>
            <w:pPr>
              <w:spacing w:after="0"/>
              <w:rPr>
                <w:sz w:val="18"/>
                <w:szCs w:val="18"/>
                <w:color w:val="auto"/>
              </w:rPr>
            </w:pPr>
          </w:p>
        </w:tc>
        <w:tc>
          <w:tcPr>
            <w:tcW w:w="4420" w:type="dxa"/>
            <w:vAlign w:val="bottom"/>
            <w:gridSpan w:val="6"/>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9"/>
          </w:tcPr>
          <w:p>
            <w:pPr>
              <w:spacing w:after="0"/>
              <w:rPr>
                <w:sz w:val="20"/>
                <w:szCs w:val="20"/>
                <w:color w:val="auto"/>
              </w:rPr>
            </w:pPr>
            <w:r>
              <w:rPr>
                <w:rFonts w:ascii="Arial" w:cs="Arial" w:eastAsia="Arial" w:hAnsi="Arial"/>
                <w:sz w:val="18"/>
                <w:szCs w:val="18"/>
                <w:color w:val="0000FF"/>
                <w:w w:val="87"/>
              </w:rPr>
              <w:t>Item 9A. Controls and Procedures</w:t>
            </w:r>
          </w:p>
        </w:tc>
        <w:tc>
          <w:tcPr>
            <w:tcW w:w="4560" w:type="dxa"/>
            <w:vAlign w:val="bottom"/>
            <w:gridSpan w:val="9"/>
          </w:tcPr>
          <w:p>
            <w:pPr>
              <w:spacing w:after="0"/>
              <w:rPr>
                <w:sz w:val="18"/>
                <w:szCs w:val="18"/>
                <w:color w:val="auto"/>
              </w:rPr>
            </w:pPr>
          </w:p>
        </w:tc>
        <w:tc>
          <w:tcPr>
            <w:tcW w:w="240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9"/>
          </w:tcPr>
          <w:p>
            <w:pPr>
              <w:spacing w:after="0"/>
              <w:rPr>
                <w:sz w:val="20"/>
                <w:szCs w:val="20"/>
                <w:color w:val="auto"/>
              </w:rPr>
            </w:pPr>
            <w:r>
              <w:rPr>
                <w:rFonts w:ascii="Arial" w:cs="Arial" w:eastAsia="Arial" w:hAnsi="Arial"/>
                <w:sz w:val="18"/>
                <w:szCs w:val="18"/>
                <w:color w:val="0000FF"/>
              </w:rPr>
              <w:t>Item 9B. Other Information</w:t>
            </w:r>
          </w:p>
        </w:tc>
        <w:tc>
          <w:tcPr>
            <w:tcW w:w="6960" w:type="dxa"/>
            <w:vAlign w:val="bottom"/>
            <w:gridSpan w:val="12"/>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00" w:type="dxa"/>
            <w:vAlign w:val="bottom"/>
            <w:gridSpan w:val="24"/>
          </w:tcPr>
          <w:p>
            <w:pPr>
              <w:spacing w:after="0"/>
              <w:rPr>
                <w:sz w:val="20"/>
                <w:szCs w:val="20"/>
                <w:color w:val="auto"/>
              </w:rPr>
            </w:pPr>
            <w:r>
              <w:rPr>
                <w:rFonts w:ascii="Arial" w:cs="Arial" w:eastAsia="Arial" w:hAnsi="Arial"/>
                <w:sz w:val="18"/>
                <w:szCs w:val="18"/>
                <w:color w:val="0000FF"/>
              </w:rPr>
              <w:t>Part III</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9"/>
          </w:tcPr>
          <w:p>
            <w:pPr>
              <w:spacing w:after="0"/>
              <w:rPr>
                <w:sz w:val="20"/>
                <w:szCs w:val="20"/>
                <w:color w:val="auto"/>
              </w:rPr>
            </w:pPr>
            <w:r>
              <w:rPr>
                <w:rFonts w:ascii="Arial" w:cs="Arial" w:eastAsia="Arial" w:hAnsi="Arial"/>
                <w:sz w:val="18"/>
                <w:szCs w:val="18"/>
                <w:color w:val="0000FF"/>
                <w:w w:val="88"/>
              </w:rPr>
              <w:t>Item 11. Executive Compensation</w:t>
            </w:r>
          </w:p>
        </w:tc>
        <w:tc>
          <w:tcPr>
            <w:tcW w:w="2280" w:type="dxa"/>
            <w:vAlign w:val="bottom"/>
            <w:gridSpan w:val="5"/>
          </w:tcPr>
          <w:p>
            <w:pPr>
              <w:spacing w:after="0"/>
              <w:rPr>
                <w:sz w:val="18"/>
                <w:szCs w:val="18"/>
                <w:color w:val="auto"/>
              </w:rPr>
            </w:pPr>
          </w:p>
        </w:tc>
        <w:tc>
          <w:tcPr>
            <w:tcW w:w="4680" w:type="dxa"/>
            <w:vAlign w:val="bottom"/>
            <w:gridSpan w:val="7"/>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00" w:type="dxa"/>
            <w:vAlign w:val="bottom"/>
            <w:gridSpan w:val="19"/>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1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gridSpan w:val="11"/>
          </w:tcPr>
          <w:p>
            <w:pPr>
              <w:spacing w:after="0"/>
              <w:rPr>
                <w:sz w:val="20"/>
                <w:szCs w:val="20"/>
                <w:color w:val="auto"/>
              </w:rPr>
            </w:pPr>
            <w:r>
              <w:rPr>
                <w:rFonts w:ascii="Arial" w:cs="Arial" w:eastAsia="Arial" w:hAnsi="Arial"/>
                <w:sz w:val="18"/>
                <w:szCs w:val="18"/>
                <w:color w:val="0000FF"/>
                <w:w w:val="89"/>
              </w:rPr>
              <w:t>Item 14. Principal Accountant Fees and Services</w:t>
            </w:r>
          </w:p>
        </w:tc>
        <w:tc>
          <w:tcPr>
            <w:tcW w:w="2580" w:type="dxa"/>
            <w:vAlign w:val="bottom"/>
            <w:gridSpan w:val="6"/>
          </w:tcPr>
          <w:p>
            <w:pPr>
              <w:spacing w:after="0"/>
              <w:rPr>
                <w:sz w:val="18"/>
                <w:szCs w:val="18"/>
                <w:color w:val="auto"/>
              </w:rPr>
            </w:pPr>
          </w:p>
        </w:tc>
        <w:tc>
          <w:tcPr>
            <w:tcW w:w="3320" w:type="dxa"/>
            <w:vAlign w:val="bottom"/>
            <w:gridSpan w:val="4"/>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7"/>
              </w:rPr>
              <w:t>Part IV</w:t>
            </w:r>
          </w:p>
        </w:tc>
        <w:tc>
          <w:tcPr>
            <w:tcW w:w="9380" w:type="dxa"/>
            <w:vAlign w:val="bottom"/>
            <w:gridSpan w:val="21"/>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sz w:val="20"/>
                <w:szCs w:val="20"/>
                <w:color w:val="auto"/>
              </w:rPr>
            </w:pPr>
            <w:r>
              <w:rPr>
                <w:rFonts w:ascii="Arial" w:cs="Arial" w:eastAsia="Arial" w:hAnsi="Arial"/>
                <w:sz w:val="18"/>
                <w:szCs w:val="18"/>
                <w:color w:val="0000FF"/>
              </w:rPr>
              <w:t>Item 15. Exhibit and Financial Statement Schedules</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0000FF"/>
              </w:rPr>
              <w:t>Item 16. Form 10-K Summary</w:t>
            </w:r>
          </w:p>
        </w:tc>
        <w:tc>
          <w:tcPr>
            <w:tcW w:w="5680" w:type="dxa"/>
            <w:vAlign w:val="bottom"/>
            <w:gridSpan w:val="9"/>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7"/>
          </w:tcPr>
          <w:p>
            <w:pPr>
              <w:spacing w:after="0"/>
              <w:rPr>
                <w:sz w:val="20"/>
                <w:szCs w:val="20"/>
                <w:color w:val="auto"/>
              </w:rPr>
            </w:pPr>
            <w:r>
              <w:rPr>
                <w:rFonts w:ascii="Arial" w:cs="Arial" w:eastAsia="Arial" w:hAnsi="Arial"/>
                <w:sz w:val="18"/>
                <w:szCs w:val="18"/>
                <w:color w:val="0000FF"/>
              </w:rPr>
              <w:t>Signatures</w:t>
            </w:r>
          </w:p>
        </w:tc>
        <w:tc>
          <w:tcPr>
            <w:tcW w:w="7220" w:type="dxa"/>
            <w:vAlign w:val="bottom"/>
            <w:gridSpan w:val="14"/>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75</w:t>
            </w:r>
          </w:p>
        </w:tc>
        <w:tc>
          <w:tcPr>
            <w:tcW w:w="0" w:type="dxa"/>
            <w:vAlign w:val="bottom"/>
          </w:tcPr>
          <w:p>
            <w:pPr>
              <w:spacing w:after="0"/>
              <w:rPr>
                <w:sz w:val="1"/>
                <w:szCs w:val="1"/>
                <w:color w:val="auto"/>
              </w:rPr>
            </w:pPr>
          </w:p>
        </w:tc>
      </w:tr>
      <w:tr>
        <w:trPr>
          <w:trHeight w:val="1769"/>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Annual Report on Form 10-K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corresponding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GXO Logistics, Inc., together with its subsidiaries (“GXO,” the “Company,” “our” or “we”), is the largest pure-play contract logistics provider in the world, and a foremost innovator in an industry propelled by strong secular tailwinds. We provide our customers with high-value-add warehousing and distribution, order fulfillment, e-commerce, reverse logistics and other supply chain services differentiated by our ability to deliver technology-enabled, customized solutions at scale. As of December 31, 2022, our approximately 135,000 team members operated in 979 facilities worldwide totaling 197 million square feet of space, primarily on behalf of large corporations, that have outsourced their warehousing, distribution and other related activities to us.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revenue is diversified among over one thousand customers, including many multinational corporations, across numerous verticals. Our customers rely on us to move their goods with high efficiency through their supply chains — from the moment inbound goods arrive at our logistics sites,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GXO became a standalone publicly traded company on August 2, 2021, when GXO Logistics, Inc. completed its separation (the “Separation”) from XPO, Inc. (“XPO”) and began regular-way trading on the New York Stock Exchange under the ticker symbol “GXO.” GXO was incorporated as a Delaware corporation in February 2021.</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May 24, 2022, the Company completed the acquisition of Clipper Logistics plc (“Clipper”), an omnichannel retail logistics specialist based in Leeds, England (the “Clipper Acquisition”). See Item 8 of Part II, “Financial Statements and Supplementary Data — Note — 4 Acquisitions” to the Consolidated Financial Statements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Drivers of Value Creation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GXO Operates in a Massive Market that is Growing Rapidly Due to Strong, Secular Tailwinds.</w:t>
      </w:r>
    </w:p>
    <w:p>
      <w:pPr>
        <w:spacing w:after="0" w:line="6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GXO is the largest pure-play contract logistics provider in the world. Our significant scale makes us well-positioned to benefit from the logistics industry’s predominant tailwinds — the secular shift in logistics toward outsourcing, the growth in consumer demand for e-commerce and omnichannel retail, and the focus on ensuring supply chain resilience that is driving higher inventory levels and nearshoring and re-shoring.</w:t>
      </w:r>
    </w:p>
    <w:p>
      <w:pPr>
        <w:spacing w:after="0" w:line="3" w:lineRule="exact"/>
        <w:rPr>
          <w:sz w:val="20"/>
          <w:szCs w:val="20"/>
          <w:color w:val="auto"/>
        </w:rPr>
      </w:pPr>
    </w:p>
    <w:p>
      <w:pPr>
        <w:ind w:left="260" w:hanging="252"/>
        <w:spacing w:after="0" w:line="29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Outsourcing: </w:t>
      </w:r>
      <w:r>
        <w:rPr>
          <w:rFonts w:ascii="Arial" w:cs="Arial" w:eastAsia="Arial" w:hAnsi="Arial"/>
          <w:sz w:val="17"/>
          <w:szCs w:val="17"/>
          <w:color w:val="auto"/>
        </w:rPr>
        <w:t>Over the last five years, the outsourced portion of the market has outgrown the broader market. We expect this outperformance to continue</w:t>
      </w:r>
      <w:r>
        <w:rPr>
          <w:rFonts w:ascii="Arial" w:cs="Arial" w:eastAsia="Arial" w:hAnsi="Arial"/>
          <w:sz w:val="17"/>
          <w:szCs w:val="17"/>
          <w:i w:val="1"/>
          <w:iCs w:val="1"/>
          <w:color w:val="auto"/>
        </w:rPr>
        <w:t xml:space="preserve"> </w:t>
      </w:r>
      <w:r>
        <w:rPr>
          <w:rFonts w:ascii="Arial" w:cs="Arial" w:eastAsia="Arial" w:hAnsi="Arial"/>
          <w:sz w:val="17"/>
          <w:szCs w:val="17"/>
          <w:color w:val="auto"/>
        </w:rPr>
        <w:t>as the benefits of economies of scale and rising technological complexity make the outsourced offering even more compelling.</w:t>
      </w:r>
    </w:p>
    <w:p>
      <w:pPr>
        <w:ind w:left="260" w:right="60" w:hanging="252"/>
        <w:spacing w:after="0" w:line="259"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E-commerce is increasing as a share of overall commerce and will continue to do so. E-commerce creates demand for a far greater degree</w:t>
      </w:r>
      <w:r>
        <w:rPr>
          <w:rFonts w:ascii="Arial" w:cs="Arial" w:eastAsia="Arial" w:hAnsi="Arial"/>
          <w:sz w:val="18"/>
          <w:szCs w:val="18"/>
          <w:i w:val="1"/>
          <w:iCs w:val="1"/>
          <w:color w:val="auto"/>
        </w:rPr>
        <w:t xml:space="preserve"> </w:t>
      </w:r>
      <w:r>
        <w:rPr>
          <w:rFonts w:ascii="Arial" w:cs="Arial" w:eastAsia="Arial" w:hAnsi="Arial"/>
          <w:sz w:val="18"/>
          <w:szCs w:val="18"/>
          <w:color w:val="auto"/>
        </w:rPr>
        <w:t>of sophistication throughout the fulfillment process, and a compelling revenue-multiplier effect for GXO. Additionally, more E-commerce also means more returns: roughly one in three items are being returned in the E-commerce environment based on third party research. The increased touchpoints mean higher revenue capture for the warehouse provider.</w:t>
      </w:r>
    </w:p>
    <w:p>
      <w:pPr>
        <w:spacing w:after="0" w:line="24" w:lineRule="exact"/>
        <w:rPr>
          <w:rFonts w:ascii="Arial" w:cs="Arial" w:eastAsia="Arial" w:hAnsi="Arial"/>
          <w:sz w:val="18"/>
          <w:szCs w:val="18"/>
          <w:color w:val="auto"/>
        </w:rPr>
      </w:pPr>
    </w:p>
    <w:p>
      <w:pPr>
        <w:jc w:val="both"/>
        <w:ind w:left="260" w:right="280" w:hanging="252"/>
        <w:spacing w:after="0" w:line="26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Resilience: </w:t>
      </w:r>
      <w:r>
        <w:rPr>
          <w:rFonts w:ascii="Arial" w:cs="Arial" w:eastAsia="Arial" w:hAnsi="Arial"/>
          <w:sz w:val="18"/>
          <w:szCs w:val="18"/>
          <w:color w:val="auto"/>
        </w:rPr>
        <w:t>The need to make supply chains more resilient has driven a trend towards holding more inventory – the concept of just-in-case, rather than just–in–time. Additionally, we expect many industries to follow the trend of pursuing resiliency in their supply chains through near-shoring.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GXO has Strong Competitive Advantages that have Enabled it to Grow Faster than the Broader Market.</w:t>
      </w:r>
    </w:p>
    <w:p>
      <w:pPr>
        <w:spacing w:after="0" w:line="63" w:lineRule="exact"/>
        <w:rPr>
          <w:sz w:val="20"/>
          <w:szCs w:val="20"/>
          <w:color w:val="auto"/>
        </w:rPr>
      </w:pPr>
    </w:p>
    <w:p>
      <w:pPr>
        <w:ind w:left="260" w:right="60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Robust Technological Differentiation: </w:t>
      </w:r>
      <w:r>
        <w:rPr>
          <w:rFonts w:ascii="Arial" w:cs="Arial" w:eastAsia="Arial" w:hAnsi="Arial"/>
          <w:sz w:val="18"/>
          <w:szCs w:val="18"/>
          <w:color w:val="auto"/>
        </w:rPr>
        <w:t>Increasingly, customers want technology-enabled, highly customized solutions that incorporate intelligent</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automation and data science. Order fulfillment times are compressing,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57" w:lineRule="exact"/>
        <w:rPr>
          <w:sz w:val="20"/>
          <w:szCs w:val="20"/>
          <w:color w:val="auto"/>
        </w:rPr>
      </w:pPr>
    </w:p>
    <w:p>
      <w:pPr>
        <w:ind w:left="260"/>
        <w:spacing w:after="0" w:line="293" w:lineRule="auto"/>
        <w:rPr>
          <w:sz w:val="20"/>
          <w:szCs w:val="20"/>
          <w:color w:val="auto"/>
        </w:rPr>
      </w:pPr>
      <w:r>
        <w:rPr>
          <w:rFonts w:ascii="Arial" w:cs="Arial" w:eastAsia="Arial" w:hAnsi="Arial"/>
          <w:sz w:val="16"/>
          <w:szCs w:val="16"/>
          <w:color w:val="auto"/>
        </w:rPr>
        <w:t>new channels are emerging as companies seek to improve the efficiency, speed and visibility of their supply chain activities, notably in the e-commerce and omnichannel retail channels. GXO leads the industry in automation levels. Our focus as an innovator is helping our customers meet the expectations of their customers, with reliable outcomes, more visibility and greater efficiency. Furthermore, we keep close tabs on innovation and are constantly testing numerous large and small technology opportunities, and our team has a unique and deep understanding of how to deploy this sophisticated technology. Across core verticals, we see a strong correlation between automation and market share growth, as our technological advantages enable us to offer continuous improvement opportunities to customers over the life of a contract, which is a powerful driver of retention and growth.</w:t>
      </w:r>
    </w:p>
    <w:p>
      <w:pPr>
        <w:spacing w:after="0" w:line="2" w:lineRule="exact"/>
        <w:rPr>
          <w:sz w:val="20"/>
          <w:szCs w:val="20"/>
          <w:color w:val="auto"/>
        </w:rPr>
      </w:pPr>
    </w:p>
    <w:p>
      <w:pPr>
        <w:ind w:left="260" w:right="20" w:hanging="252"/>
        <w:spacing w:after="0" w:line="255"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Global Scale: </w:t>
      </w:r>
      <w:r>
        <w:rPr>
          <w:rFonts w:ascii="Arial" w:cs="Arial" w:eastAsia="Arial" w:hAnsi="Arial"/>
          <w:sz w:val="18"/>
          <w:szCs w:val="18"/>
          <w:color w:val="auto"/>
        </w:rPr>
        <w:t>GXO’s ability to serve multinationals around the world is another key driver of our growth. We have established leading market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across North America, Western Europe, and the UK, and we have built scale positions across the following, highly attractive verticals – omnichannel retail and consumer packaged goods; food and beverage; industrial and manufacturing; as well as tech and consumer electronics. Our customer portfolio includes long-term relationships with blue-chip market leaders and world-class brands, including </w:t>
      </w:r>
      <w:r>
        <w:rPr>
          <w:rFonts w:ascii="Arial" w:cs="Arial" w:eastAsia="Arial" w:hAnsi="Arial"/>
          <w:sz w:val="18"/>
          <w:szCs w:val="18"/>
          <w:i w:val="1"/>
          <w:iCs w:val="1"/>
          <w:color w:val="auto"/>
        </w:rPr>
        <w:t>Fortune 100</w:t>
      </w:r>
      <w:r>
        <w:rPr>
          <w:rFonts w:ascii="Arial" w:cs="Arial" w:eastAsia="Arial" w:hAnsi="Arial"/>
          <w:sz w:val="18"/>
          <w:szCs w:val="18"/>
          <w:color w:val="auto"/>
        </w:rPr>
        <w:t xml:space="preserve"> and </w:t>
      </w:r>
      <w:r>
        <w:rPr>
          <w:rFonts w:ascii="Arial" w:cs="Arial" w:eastAsia="Arial" w:hAnsi="Arial"/>
          <w:sz w:val="18"/>
          <w:szCs w:val="18"/>
          <w:i w:val="1"/>
          <w:iCs w:val="1"/>
          <w:color w:val="auto"/>
        </w:rPr>
        <w:t>Fortune Global 500</w:t>
      </w:r>
      <w:r>
        <w:rPr>
          <w:rFonts w:ascii="Arial" w:cs="Arial" w:eastAsia="Arial" w:hAnsi="Arial"/>
          <w:sz w:val="18"/>
          <w:szCs w:val="18"/>
          <w:color w:val="auto"/>
        </w:rPr>
        <w:t xml:space="preserve"> companies. Importantly, scale enables us to continuously learn and improve shared knowledge across our verticals and our large, diversified customer base to create more value.</w:t>
      </w:r>
    </w:p>
    <w:p>
      <w:pPr>
        <w:spacing w:after="0" w:line="30" w:lineRule="exact"/>
        <w:rPr>
          <w:rFonts w:ascii="Arial" w:cs="Arial" w:eastAsia="Arial" w:hAnsi="Arial"/>
          <w:sz w:val="18"/>
          <w:szCs w:val="18"/>
          <w:color w:val="auto"/>
        </w:rPr>
      </w:pPr>
    </w:p>
    <w:p>
      <w:pPr>
        <w:ind w:left="260" w:right="20" w:hanging="252"/>
        <w:spacing w:after="0" w:line="273"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Trusted expertise: </w:t>
      </w:r>
      <w:r>
        <w:rPr>
          <w:rFonts w:ascii="Arial" w:cs="Arial" w:eastAsia="Arial" w:hAnsi="Arial"/>
          <w:sz w:val="17"/>
          <w:szCs w:val="17"/>
          <w:color w:val="auto"/>
        </w:rPr>
        <w:t>Our executives have decades of experience in their respective fields and work together to create sustainable value through operational</w:t>
      </w:r>
      <w:r>
        <w:rPr>
          <w:rFonts w:ascii="Arial" w:cs="Arial" w:eastAsia="Arial" w:hAnsi="Arial"/>
          <w:sz w:val="17"/>
          <w:szCs w:val="17"/>
          <w:i w:val="1"/>
          <w:iCs w:val="1"/>
          <w:color w:val="auto"/>
        </w:rPr>
        <w:t xml:space="preserve"> </w:t>
      </w:r>
      <w:r>
        <w:rPr>
          <w:rFonts w:ascii="Arial" w:cs="Arial" w:eastAsia="Arial" w:hAnsi="Arial"/>
          <w:sz w:val="17"/>
          <w:szCs w:val="17"/>
          <w:color w:val="auto"/>
        </w:rPr>
        <w:t>excellence and a purposeful culture. Our executives foster a company culture that is safe, respectful, entrepreneurial, innovative and inclusive, with a focus on diversity, inclusion and belonging that continues to shape our recruitment efforts and work environments. We have extensive experience in our core verticals, and we understand the specific requirements for quality control, real-time visibility, special handling, security, complex stock-keeping, time-assured deliveries and agility during surges in demand. The average relationship tenure for our top 20 customers in 2022, based on revenue, was over 15 years, and our revenue retention rate is above 90% each year.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GXO has a Resilient Business Model with Multiple Drivers of Profitable Growth</w:t>
      </w:r>
    </w:p>
    <w:p>
      <w:pPr>
        <w:spacing w:after="0" w:line="63" w:lineRule="exact"/>
        <w:rPr>
          <w:sz w:val="20"/>
          <w:szCs w:val="20"/>
          <w:color w:val="auto"/>
        </w:rPr>
      </w:pPr>
    </w:p>
    <w:p>
      <w:pPr>
        <w:ind w:left="260" w:right="20" w:hanging="252"/>
        <w:spacing w:after="0" w:line="279"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High Quality Growth: </w:t>
      </w:r>
      <w:r>
        <w:rPr>
          <w:rFonts w:ascii="Arial" w:cs="Arial" w:eastAsia="Arial" w:hAnsi="Arial"/>
          <w:sz w:val="17"/>
          <w:szCs w:val="17"/>
          <w:color w:val="auto"/>
        </w:rPr>
        <w:t>First, our long-term relationships, have an average contract and lease term of five years. Second, our pricing framework is</w:t>
      </w:r>
      <w:r>
        <w:rPr>
          <w:rFonts w:ascii="Arial" w:cs="Arial" w:eastAsia="Arial" w:hAnsi="Arial"/>
          <w:sz w:val="17"/>
          <w:szCs w:val="17"/>
          <w:i w:val="1"/>
          <w:iCs w:val="1"/>
          <w:color w:val="auto"/>
        </w:rPr>
        <w:t xml:space="preserve"> </w:t>
      </w:r>
      <w:r>
        <w:rPr>
          <w:rFonts w:ascii="Arial" w:cs="Arial" w:eastAsia="Arial" w:hAnsi="Arial"/>
          <w:sz w:val="17"/>
          <w:szCs w:val="17"/>
          <w:color w:val="auto"/>
        </w:rPr>
        <w:t>managed through contractual terms and includes escalations for inflation. Third, our stable revenue base is diversified by customer, vertical and geography, making GXO resilient through different parts of the cycle. Additionally, no customer represented more than 4% of our total revenue in 2022. Fourth, our customers are high-quality companies, and the vast majority of our top-100 credit rated customers are Investment Grade.</w:t>
      </w:r>
    </w:p>
    <w:p>
      <w:pPr>
        <w:spacing w:after="0" w:line="9" w:lineRule="exact"/>
        <w:rPr>
          <w:rFonts w:ascii="Arial" w:cs="Arial" w:eastAsia="Arial" w:hAnsi="Arial"/>
          <w:sz w:val="17"/>
          <w:szCs w:val="17"/>
          <w:color w:val="auto"/>
        </w:rPr>
      </w:pPr>
    </w:p>
    <w:p>
      <w:pPr>
        <w:ind w:left="260" w:hanging="252"/>
        <w:spacing w:after="0" w:line="34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Continuous Improvement and Productivity: </w:t>
      </w:r>
      <w:r>
        <w:rPr>
          <w:rFonts w:ascii="Arial" w:cs="Arial" w:eastAsia="Arial" w:hAnsi="Arial"/>
          <w:sz w:val="16"/>
          <w:szCs w:val="16"/>
          <w:color w:val="auto"/>
        </w:rPr>
        <w:t>GXO expects to generate meaningful margin expansion from an increase in large scale automation,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adaptive technologies, completion of central efficiency projects, and the realization of synergies from the 2022 acquisition of Clipper.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design and operate the most advanced warehouse solutions in the world. Our strategy is to help our customers manage their warehouses for optimal efficiency, using our network of people, technology and other physical assets. We deliver value to customers in the form of technological innovations, process efficiencies, cost efficiencies and reliable outcomes. Our services are both highly responsive to customer goals, such as increasing visibility in the supply chain, decreasing fulfillment times and mitigating environmental impacts and being proactive in identifying potential improvements.</w:t>
      </w:r>
    </w:p>
    <w:p>
      <w:pPr>
        <w:spacing w:after="0" w:line="1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GXO creates short- and long-term value for customers and shareholders through our unique combination of technology, scale and expertise. Our strategy addresses growth and optimization by focusing on core verticals that demonstrate enduring demand over time and where we already have a deep presence. We expect to attract new customers and expand the services we provide to existing customers through new projects, thus earning more of their external and internal logistics spend. We integrate best practices to drive productivity, with a focus on automation and other levers of profitable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aid in executing our strategy, we have instilled a culture that focuses on delivering mutually beneficial results for our customers and our company with the highest legal and ethical standards and clear policies and practices to support compliance throughout our organization.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Contract logistics is growing more and more complex, as changing consumer expectations and preferences continue to drive a need for faster delivery times, higher levels of returned inventory, and better visibility throughout the supply chain. Traditional warehousing solutions are no longer sufficient to fill these needs. The industry needs scaled technology players, like GXO, to deliver these complex solutions.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Technology is a core competitive advantage for GXO and fundamental to how we win and retain business. GXO was an early adopter of technology and operates more than 30% of technology-enabled warehouses compared to the industry average of roughly 8%. Technology enables us to add value to our customers’ end-to-end operations in terms of cost, efficiency, accuracy, and environmental impact. Investments in cutting-edge technology are a major growth driver for our business.</w:t>
      </w:r>
    </w:p>
    <w:p>
      <w:pPr>
        <w:spacing w:after="0" w:line="21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Our highly scalable platform is built on the cloud to speed the deployment of new ways to increase efficiency and leverage our footprint. In a relatively short time, we can implement innovations across multiple geographies or take an innovation developed for one vertical and apply it to other verticals to enhance the value we offer our customers.</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To date, the most significant impacts of our proprietary technology are in three areas: labor and inventory management productivity, intelligent warehouse automation and predictive analytics, all of which are integrated through our proprietary warehouse management platform.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Inventory Management</w:t>
      </w:r>
    </w:p>
    <w:p>
      <w:pPr>
        <w:spacing w:after="0" w:line="25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Our productivity is driven by our comprehensive suite of intelligent tools and analytics designed to optimize labor and inventory management. This technology incorporates dynamic data science, predictive analytics and machine learning to aid decision-making. Our site managers use these tools to improve productivity in site-specific ways in a safe, disciplined and cost-effective manner.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Warehouse Automation</w:t>
      </w:r>
    </w:p>
    <w:p>
      <w:pPr>
        <w:spacing w:after="0" w:line="25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intelligent warehouse automation includes deployments of autonomous robots and cobots, automated sortation systems, automated guided vehicles, goods-to-person systems and wearable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providing an integrated solution.</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found that autonomous goods-to-person systems and that cobots, which assist workers with the inventory picking process, can improve labor productivity. Stationary robot arms can repeat demanding tasks with greater precision than is possible manually. Robots are particularly valuable in markets with labor shortages and where wage inflation can erode customer margins.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maximum benefit from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Predictive Analytics</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predictive analytics add significant value for customers, particularly in e-commerce and omnichannel retail, where seasonality drives high volumes through outbound and inbound logistics processes. For example, up to 30% of consumer goods bought online are returned and this creates increased volumes at certain times of the year. We have developed analytics that predict surges in demand using a combination of historical data and customer forecasting.</w:t>
      </w:r>
    </w:p>
    <w:p>
      <w:pPr>
        <w:spacing w:after="0" w:line="21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an industry leader that invests substantially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provide our customers with high-value-add warehousing and distribution, order fulfillment, e-commerce, reverse logistics and other supply chain services. We provide services to customers globally, including </w:t>
      </w:r>
      <w:r>
        <w:rPr>
          <w:rFonts w:ascii="Arial" w:cs="Arial" w:eastAsia="Arial" w:hAnsi="Arial"/>
          <w:sz w:val="18"/>
          <w:szCs w:val="18"/>
          <w:i w:val="1"/>
          <w:iCs w:val="1"/>
          <w:color w:val="auto"/>
        </w:rPr>
        <w:t>Fortune 100</w:t>
      </w:r>
      <w:r>
        <w:rPr>
          <w:rFonts w:ascii="Arial" w:cs="Arial" w:eastAsia="Arial" w:hAnsi="Arial"/>
          <w:sz w:val="18"/>
          <w:szCs w:val="18"/>
          <w:color w:val="auto"/>
        </w:rPr>
        <w:t xml:space="preserve"> and </w:t>
      </w:r>
      <w:r>
        <w:rPr>
          <w:rFonts w:ascii="Arial" w:cs="Arial" w:eastAsia="Arial" w:hAnsi="Arial"/>
          <w:sz w:val="18"/>
          <w:szCs w:val="18"/>
          <w:i w:val="1"/>
          <w:iCs w:val="1"/>
          <w:color w:val="auto"/>
        </w:rPr>
        <w:t>Fortune Global 500</w:t>
      </w:r>
      <w:r>
        <w:rPr>
          <w:rFonts w:ascii="Arial" w:cs="Arial" w:eastAsia="Arial" w:hAnsi="Arial"/>
          <w:sz w:val="18"/>
          <w:szCs w:val="18"/>
          <w:color w:val="auto"/>
        </w:rPr>
        <w:t xml:space="preserve"> companies in the U.S., European multinational market leaders and other renowned global brands. The customers we serve are primarily in North America and Europe and operate in every major industry. The diversification of our customer base reduces concentration risk. In 2022, our top five customers combined accounted for approximately 16% of our total revenue, and no customer represented more than 4%.</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revenue is highly diversified due to our expertise across a range of key verticals, reflecting our customers’ principal industry sectors. In 2022, 41% of our revenue was from Omnichannel retail, 15% from Technology and consumer electronics, 15% from Food and beverage, 12% from Industrial and manufacturing, 10% from Consumer packaged goods and 7% from other industries, with the vast majority of our revenue generated in United Kingdom, United States, France, Netherlands and Spain.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revenue and profitability are typically lower in the first quarter of the calendar year relative to other quarters. This is due in part to seasonality, namely the post-holiday reduction in demand experienced by many of our customers, which leads to less use of the logistics services we provide. Our business benefits from strong positioning in the e-commerce sector, where demand is characterized by seasonal surges in activity, with the fourth quarter holiday peak typically being the most dramatic.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operate in a highly competitive global industry with a highly fragmented marketplace where thousands of companies compete domestically and internationally. We compete based on our ability to deliver quality service, reliability, scope and scale of operations, technological capabilities, expertise and pricing.</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competitors include local, regional, national and international companies that offer services similar to those we provide. Our competitors include DHL, DSV, Kuehne + Nagel International, GEODIS and ID Logistics. Due to the competitive nature of our marketplace, we strive daily to strengthen and expand existing business relationships and forge new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 Regulations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are regulated and licensed by various governmental agencies in the U.S. at the local, state and federal levels and in other countries where we conduct business. These regulations impact us directly and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we are subject to various environmental laws and regulations in the jurisdictions where we operate. Historically, we have successfully resolved potential environmental exposure without a material effect on our business or operations. We believe that our operations are in compliance with current laws and regulations and we do not know of any existing environmental law, regulation nor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number of our sites are ISO 14001-certified to high standards for environmental management, and we have implemented numerous programs to manage environmental risks and maintain compliance in our business. U.S. federal and state governments, as well as governments in certain foreign jurisdictions where we operate, have also proposed environmental legislation that could, among other things, limit carbon, exhaust and greenhouse gas emissions. If enacted, such legislation could result in reduced productivity and efficiency and increased operating expenses, all of which could adversely affect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relies in large part on our robust governance structure and Code of Business Ethics, our corporate citizenship and engaged employees who embrace our values. As a customer-centric company with a strong service culture, we constantly work to maintain and improve our position as an employer of choice. This requires an unwavering commitment to workplace inclusion and safety as well as competitive total compensation that meets the needs of our employees and their families.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Profile</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2022, we operated in 28 countries with approximately 135,000 team members (comprised of 89,000 full-time and part-time employees and 46,000 temporary workers engaged through third-party agencies). Our workforce is located as follows: 42% in the United Kingdom, 30% in Europe (excluding the United Kingdom), 26% in North America and 2% were based in Latin America and Asia combined. The majority of our employees in Europe and United Kingdom were covered by collective bargaining agreements, while none of our employees in North America were covered by collective bargaining agreements. As of December 31, 2022, approximately 34% of our global workforce was comprised of women, and 66% of our workforce in the U.S. were ethnic minorities.</w:t>
      </w: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made significant investments in the safety, well-being and satisfaction of our employees in numerous areas, including diversity, inclusion and belonging; health and safety; talent development and engagement; and expansive total rewards.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take pride in having an inclusive workplace that encourages a diversity of backgrounds and perspectives and mandates fair treatment for all individuals. These attributes of our culture make us a stronger organization and a better partner to all GXO stakeholders. We welcome employees of every gender identity, sexual orientation, race, ethnicity, national origin, religion, life experience, veteran status and disability. In November 2021, we appointed a Vice President of Diversity, Inclusion and Belonging and we have launched a Sustainability Steering Committee and Diversity and Inclusion Steering Committee in Europe and the Americas whose strategies include support and contributions for our Environmental, Social and Governance (“ESG”) commitments and ongoing community engagement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employees’ safety is always our foremost priority, and we have numerous protocols in place to ensure a safe workplace environment. We aim to maintain an Occupational Safety and Health Administration recordable incident rate that is less than half the published rate for the General Warehousing and Storage sector, based on the “Industry Injury and Illness Data” of the U.S. Bureau of Labor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Engagement</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and assess satisfaction. In this way, our employees help drive the continuous improvement of our business. We seek to identify top talent in all aspects of the recruitment process, and we emphasize training and development supported by our own GXO University.</w:t>
      </w:r>
    </w:p>
    <w:p>
      <w:pPr>
        <w:spacing w:after="0" w:line="21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tailor our recruitment efforts by geography and job function using an array of channels to ensure a diverse candidate pool. Our talent development infrastructure provides resources to employees who aspire to grow throughout their careers, such as tailored skills development, training and mentoring. In addition, we maintain a robust pipeline of future operations leaders by using structured sponsorships and additional learning techniques to develop internal candidates who demonstrate high potential to advance from supervisory roles into site leader positions. Our programs also retain top talent by defining personalized development paths and attract new talent by differentiating GXO as an employer of choice.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Expansive Total Rewards</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offer a competitive compensation package to help attract and retain outstanding talent. We offer competitive wages and a comprehensive suite of benefits to all employees to maintain our position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and local and global bonuses structured to offer competitive pay in each country.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our executive officers: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Age</w:t>
            </w:r>
          </w:p>
        </w:tc>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Borders>
              <w:top w:val="single" w:sz="8" w:color="CCEEFF"/>
            </w:tcBorders>
            <w:shd w:val="clear" w:color="auto" w:fill="CCEEFF"/>
          </w:tcPr>
          <w:p>
            <w:pPr>
              <w:spacing w:after="0"/>
              <w:rPr>
                <w:sz w:val="19"/>
                <w:szCs w:val="19"/>
                <w:color w:val="auto"/>
              </w:rPr>
            </w:pPr>
          </w:p>
        </w:tc>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Baris Oran</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Karlis Kirsis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Legal Officer</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Maryclaire Hammond</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Elizabeth Fogarty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Communications Officer</w:t>
            </w:r>
          </w:p>
        </w:tc>
      </w:tr>
    </w:tbl>
    <w:p>
      <w:pPr>
        <w:spacing w:after="0" w:line="31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has served as Chief Executive Officer since the Separation in August 2021, after serving as Chief Executive Officer of XPO Logistics</w:t>
      </w:r>
      <w:r>
        <w:rPr>
          <w:rFonts w:ascii="Arial" w:cs="Arial" w:eastAsia="Arial" w:hAnsi="Arial"/>
          <w:sz w:val="18"/>
          <w:szCs w:val="18"/>
          <w:b w:val="1"/>
          <w:bCs w:val="1"/>
          <w:color w:val="auto"/>
        </w:rPr>
        <w:t xml:space="preserve"> </w:t>
      </w:r>
      <w:r>
        <w:rPr>
          <w:rFonts w:ascii="Arial" w:cs="Arial" w:eastAsia="Arial" w:hAnsi="Arial"/>
          <w:sz w:val="18"/>
          <w:szCs w:val="18"/>
          <w:color w:val="auto"/>
        </w:rPr>
        <w:t>Europe since September 2017. He joined XPO in 2015 through XPO’s acquisition of Norbert Dentressangle, where he led the logistics division and served on the executive board.</w:t>
      </w:r>
    </w:p>
    <w:p>
      <w:pPr>
        <w:spacing w:after="0" w:line="203"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Baris Oran </w:t>
      </w:r>
      <w:r>
        <w:rPr>
          <w:rFonts w:ascii="Arial" w:cs="Arial" w:eastAsia="Arial" w:hAnsi="Arial"/>
          <w:sz w:val="16"/>
          <w:szCs w:val="16"/>
          <w:color w:val="auto"/>
        </w:rPr>
        <w:t>has served as Chief Financial Officer since the Separation in August 2021. Mr. Oran joined XPO in May 2021 as Chief Financial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XPO’s Logistics segment after having previously served as Chief Financial Officer of the Sabanci Group, one of Turkey’s largest publicly traded companies. Mr. Oran served as Chief Financial Officer of Sabanci from 2016 to 2021, prior to which he held other senior finance roles at the company.</w:t>
      </w:r>
    </w:p>
    <w:p>
      <w:pPr>
        <w:spacing w:after="0" w:line="169"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Karlis Kirsis </w:t>
      </w:r>
      <w:r>
        <w:rPr>
          <w:rFonts w:ascii="Arial" w:cs="Arial" w:eastAsia="Arial" w:hAnsi="Arial"/>
          <w:sz w:val="16"/>
          <w:szCs w:val="16"/>
          <w:color w:val="auto"/>
        </w:rPr>
        <w:t>has served as Chief Legal Officer since the Separation in August 2021, after serving as Senior Vice President, European Chief Legal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for XPO, a role he had held since February 2020. Mr. Kirsis previously served in various roles at XPO, including Senior Vice President, Corporate Counsel from July 2017 to February 2020 and Vice President, Corporate and Securities Counsel from September 2016 to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Maryclaire Hammond </w:t>
      </w:r>
      <w:r>
        <w:rPr>
          <w:rFonts w:ascii="Arial" w:cs="Arial" w:eastAsia="Arial" w:hAnsi="Arial"/>
          <w:sz w:val="17"/>
          <w:szCs w:val="17"/>
          <w:color w:val="auto"/>
        </w:rPr>
        <w:t>has served as Chief Human Resources Officer since the Separation in August 2021, after serving as Senior Vice President, Human</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 Americas and Asia Pacific for XPO’s North American logistics business, a role she had held since September 2019. Prior to her time with XPO, Ms. Hammond was employed by Marathon Petroleum Company (formerly Andeavor) as a Senior Human Resources Director from August 2017 to September 2019, and before that as Human Resources Director for BP North America.</w:t>
      </w:r>
    </w:p>
    <w:p>
      <w:pPr>
        <w:spacing w:after="0" w:line="19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Elizabeth Fogarty </w:t>
      </w:r>
      <w:r>
        <w:rPr>
          <w:rFonts w:ascii="Arial" w:cs="Arial" w:eastAsia="Arial" w:hAnsi="Arial"/>
          <w:sz w:val="18"/>
          <w:szCs w:val="18"/>
          <w:color w:val="auto"/>
        </w:rPr>
        <w:t>has served as Chief Communications Officer since September 2021. Prior to her time with GXO, Ms. Fogarty was employed by Citi as</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Managing Director and Head of Global Consumer Banking Public Affairs from October 2013 to September 2021, and before that as the Director of Corporate Communications and Vice President of Global Public Affairs.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required to file annual, quarterly and current reports, proxy statements and other information with the U.S. Securities and Exchange Commission (SEC). The SEC maintains an Internet site that contains reports, proxy and information statements, and other information regarding issuers that file electronically with the SEC at http://www.sec.gov. Our Annual Reports on Form 10-K, Quarterly Reports on Form 10-Q, Current Reports on Form 8-K and amendments to those reports filed or furnished pursuant to Section 13(a) or 15(d) of the Exchange Act are available, free of charge, on our corporate website at www.gxo.com. Materials are available online as soon as reasonably practicable after we electronically submit them to the SEC. Further materials regarding our corporate governance policies and practices, including our Corporate Governance Guidelines, Code of Business Ethics and the charters relating to the committees of our Board of Directors are also available on the investors section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Strategy and Operations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failure to compete or respond to customer requirements could negatively affect our business and our results of operations.</w:t>
      </w:r>
    </w:p>
    <w:p>
      <w:pPr>
        <w:spacing w:after="0" w:line="19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competitive factors that are most important to our customers are price and quality of service. Many larger customers utilize the services of multiple logistics providers. Customers regularly solicit bids from competitors to improve service and to secure favorable pricing and contractual terms such as longer payment terms, fixed-price arrangements, higher or unlimited liability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labor costs to attract, develop and retain employees may have a material adverse effect on our business.</w:t>
      </w:r>
    </w:p>
    <w:p>
      <w:pPr>
        <w:spacing w:after="0" w:line="252"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Our workforce is comprised primarily of employees who work on an hourly basis. To grow our operations and meet the needs and expectations of our customers, we must attract, develop and retain a large number of hourly employees while controlling labor costs. Several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w:t>
      </w:r>
    </w:p>
    <w:p>
      <w:pPr>
        <w:spacing w:after="0" w:line="18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Additionally, our operations are subject to various employment-related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employment-related matters. Any changes to employment-related laws and regulations, including increased minimum wages or the expansion of union organization rights could result in increased labor costs that could adversely affect our business, results of operations, cash flows and financial condition.</w:t>
      </w:r>
    </w:p>
    <w:p>
      <w:pPr>
        <w:spacing w:after="0" w:line="2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Labor represents a significant portion of our operating expenses; thus, compliance with these evolving laws and regulations could substantially increase our cost of doing business, while failure to do so could subject us to significant fines and lawsuits and could have a material adverse effect on our business, financial condition and results of operations. We are currently subject to employment-related claims in connection with our operations. These claims, lawsuits and proceedings are in various stages of adjudication or investigation and involve a wide variety of claims and potential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qualified employees and temporary workers.</w:t>
      </w:r>
    </w:p>
    <w:p>
      <w:pPr>
        <w:spacing w:after="0" w:line="25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depend on our ability to attract and retain qualified employees, including our executive officers and managers. If we are unable to attract and retain such individuals, we may be unable to maintain our current competitive position within the industry, meet our customers’ expectations or successfully expand and grow our business.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ability to meet customer demands and expectations, especially during periods of peak volume, is substantially dependent on our ability to recruit and retain qualified temporary part-time and full-time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Therefore, our inability to recruit a qualified temporary workforce may result in our inability to meet our customers’ performance targets.</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income, productivity or synergies we anticipate or otherwise perform as we expect on the timeline contemplated. We are unable to predict all of the risks that could arise as a result of our acquisitions.</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the performance of an acquired business, including our 2022 acquisition of Clipper,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could adversely affect our financial condition and results. We have experienced challenges of this nature relating to the infrastructure and systems of certain companies that we have acquired. Also, we may not realize all of the synergies we anticipate from past and potential future acquisitions. Among the synergies that we currently expect to realize are cross-selling opportunities to our existing customers, network synergies and other operational synergies. Variances from these or other assumptions or expectations could adversely affect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new markets and we intend to continue to focus on rapid growth, including organic growth and additional acquisitions. We may experience difficulties and higher than expected expenses in executing this strategy as a result of unfamiliarity with new markets, changes in revenue and business models, entry into new geographic areas or increased pressure on our existing infrastructure and information technology systems.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 w:name="page14"/>
    <w:bookmarkEnd w:id="13"/>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services we provide outside of the U.S. are subject to risks resulting from changes in tariffs, trade restrictions, trade agreements, tax rules and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2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19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present our financial statements in U.S. dollars (“USD”), but we hold a significant proportion of our net assets and generate income in non-USD currencies, primarily the Euro and British pound sterling. Consequently, a depreciation of non-USD currencies relative to the USD could have an adverse impact on our financial results as further discussed in Item 7A, “Quantitative and Qualitative Disclosures about Market Risk.”</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National and regional differences in monetary policy may cause the value of the non-USD currencies to fluctuate against the USD. Currency volatility contributes to variations in our sales of services in impacted jurisdictions. Accordingly, fluctuations in currency exchange rates could adversely affect our business and financial condition.</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inability to successfully manage the costs and operational difficulties of adding new customers and business may negatively affect our financial condition and operations.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Establishing new customer relationships or adding operational sites for existing customers requires a significant amount of time, operational focus and capital. Although we typically partner with our new customers to ensure that onboarding is smooth, our inability to integrate new customers or operational sites into our technology systems, or recruit additional employees to manage new customer relationships, or incurrence of higher than anticipated costs to onboard new customers may negatively affect our financial condition or operations.</w:t>
      </w:r>
    </w:p>
    <w:p>
      <w:pPr>
        <w:spacing w:after="0" w:line="21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addition, our operations can require a significant commitment of capital in the form of shelving, racking and other warehousing systems that may be necessary to implement warehouse solutions for our customers. These costs are often billed to the customer over the expected length of the customer relationship. To the extent that a customer defaults on its obligations under its agreement with us, we could be forced to take a significant loss on the unrecovered portion of the upfront capital costs.</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contractual terms between us and our customers could expose us to penalties and costs in the event we do not meet the contractually prescribed performance levels.</w:t>
      </w:r>
    </w:p>
    <w:p>
      <w:pPr>
        <w:spacing w:after="0" w:line="19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maintain long-term contracts with the majority of our customers, many of which include performance-based minimum levels of service. Although we manage our business to exceed prescribed performance levels, our inability to meet these service levels, whether due to labor shortages, volume peaks, our inability to procure temporary labor, technological malfunctions or other events that may or may not be within our control, may expose us to penalties or incremental costs or lead to the termination of customer contracts, any of which could negatively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operations are subject to seasonal fluctuations, and our inability to manage these fluctuations could negatively affect our business and our results of operations.</w:t>
      </w:r>
    </w:p>
    <w:p>
      <w:pPr>
        <w:spacing w:after="0" w:line="19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Many of our customers typically realize a significant portion of their sales during the holiday season in the fourth quarter of each calendar year. Although not all of our customers experience the same seasonal variation, and some customers may have seasonal peaks that occur in periods other than the fourth quarter, the seasonality of our customers’ businesses places higher demands on our services during peak periods,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arising from the COVID-19 global pandemic (the “Pandemic”).</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results of operations may continue to reflect the adverse impact from the Pandemic, including its impact on our supply chain and inflationary pressures. A pandemic or other public health epidemic poses the risk that we or our employees, customers, suppliers, manufacturers and other commercial partners may be prevented from conducting business activities for an indefinite period of time, including due to the spread of the disease or shutdowns requested or mandated by governmental authorities.</w:t>
      </w:r>
    </w:p>
    <w:p>
      <w:pPr>
        <w:spacing w:after="0" w:line="21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extent to which the Pandemic may have a material adverse effect on our future business, financial condition and results of operations will depend on many factors that are not within GXO’s control, including but not limited to the Pandemic's path and effect, new variants and vaccination rates, potential supply chain disruptions and inflation, which can impact our key markets, business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Russia’s Invasion of Ukraine.</w:t>
      </w:r>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February 2022, Russia launched a large-scale military invasion of Ukraine. The United States and other countries and certain international organizations have imposed broad-ranging economic sanctions on Russia and certain Russian individuals, banking entities and corporations as a response, and additional sanctions may be imposed. The extent and duration of the military action or future escalation of such hostilities, resulting sanctions and market disruptions and volatility are impossible to predict, but could be significant and could have a severe adverse effect on the regional and global economies. The ramifications of the hostilities and sanctions may not be limited to Russia, Ukraine and Russian and Ukrainian companies; ramifications may spill over to and negatively impact other regional and global economic markets, may cause supply chain disruptions and may increase costs for transportation and energy. The potential for a wider conflict could further increase financial market volatility and could negatively affect our ability to raise additional capital when required. While we currently conduct limited business in Russia, the conflict and its effects could adversely affect our business, results of operations, cash flows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Use of Technology</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timely or cost-effective manner. Any such failures could result in decreased demand for our services and a corresponding decrease in our revenues.</w:t>
      </w: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negatively impacted.</w:t>
      </w:r>
    </w:p>
    <w:p>
      <w:pPr>
        <w:spacing w:after="0" w:line="2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systems, networks or processes may materially adversely affect our business.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efficient operation of our business depends on our information technology systems, including internet and cloud-based services, for many activities important to our business.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liabilities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222"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use both internally developed and purchased technologies in conducting our business. It is possible that users of these technologies, whether internally developed or purchased, could be claimed to infringe upon or violate the intellectual property rights of third parties. In the event that a claim is made against us by a third-party for the infringement of intellectual property rights, a settlement or adverse judgment against us could result in increased costs to license the technology or a legal prohibition against continued use of the technology. Thus, our failure to obtain, maintain or enforce our intellectual property rights could have a material adverse effect on our business, financial condition and results of operations.</w:t>
      </w:r>
    </w:p>
    <w:p>
      <w:pPr>
        <w:spacing w:after="0" w:line="2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and ultimately be unsuccessful. Moreover, should we fail to develop and properly manage future intellectual property, this could adversely affect our market positions and business opportunities.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Credit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the commercial and credit environment may adversely affect our future access to capital on favorable terms.</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debt obligations that could adversely affect our business and profitability and our ability to meet other obligations.</w:t>
      </w:r>
    </w:p>
    <w:p>
      <w:pPr>
        <w:spacing w:after="0" w:line="2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2021, in connection with the Separation, GXO entered into a Revolving Credit Agreement providing an $800 million unsecured five-year revolving credit facility and issued $800 million of unsecured notes in two series. GXO transferred a portion of the net proceeds of the notes and other cash and cash equivalents to XPO. In March 2022, GXO entered into a two- and three-year term loan facility that provided $165 million and $235 million, respectively, and in May 2022, GXO entered into a five-year unsecured term loan facility that provided a $500 million unsecured term loan. The term loans were used to fund the Clipper Acquisition. As a result of these transactions, GXO had approximately $1.6 billion of outstanding debt as of December 31, 2022, excluding finance leases and other debt. We may also incur additional indebtedness in the future.</w:t>
      </w:r>
    </w:p>
    <w:p>
      <w:pPr>
        <w:spacing w:after="0" w:line="205"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debt obligations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Third-Party Relationships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 or organizing efforts.</w:t>
      </w:r>
    </w:p>
    <w:p>
      <w:pPr>
        <w:spacing w:after="0" w:line="25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close to a customer’s manufacturing plant and are 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Europe, our business activities rely on a large amount of labor, including a number of workers who are affiliated with trade unions and other staff representative institutions.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operations, such as general strike activities or other material labor disputes, could have an adverse effect on our revenues, earnings and financial position.</w:t>
      </w:r>
    </w:p>
    <w:p>
      <w:pPr>
        <w:spacing w:after="0" w:line="2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Although our workforce in the U.S. is not unionized, labor unions have, from time to time, attempted to organize our employees. Successful unionization of our employees or organizing efforts could lead to business interruptions, work stoppages and the reduction of service levels due to work rules that could have an adverse effect on our customer relationships and our revenues, earnings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properly manage our temporary workers could have a material adverse impact on our revenues, earnings, financial position.</w:t>
      </w:r>
    </w:p>
    <w:p>
      <w:pPr>
        <w:spacing w:after="0" w:line="264"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Our business uses a large number of temporary workers in our operations.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Litigation and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and are subject to various claims that could result in significant expenditures and impact our operations.</w:t>
      </w:r>
    </w:p>
    <w:p>
      <w:pPr>
        <w:spacing w:after="0" w:line="2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nature of our business exposes us to the potential for various types of claims and litigation. We are subject to claims and litigation related to labor and employment, personal injury, vehicular accidents, cargo and other property damage, business practices, environmental liability and other matters, including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affect our earnings.</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a defined benefit plan for our current and former employees, which could have a material adverse effect on our earnings and financial position.</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a defined benefit pension plan in the U.K. A decline in interest rates or lower returns on funded plan assets may cause increases in the expense and funding requirements for this plan. Despite past amendments that froze our defined benefit pension plan to new participants and curtailed benefits, this pension plan remains subject to volatility associated with interest rates, inflation, returns on plan assets, other actuarial assumptions and statutory funding requirements. Any of these factors could lead to a significant increase in the expense of this plan and a deterioration in the solvency of the plan, which could significantly increase our contribution requirements. As a result, we are unable to predict the effect on our financial statements associated with our defined benefit pension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for U.S. and multinational companies may increase our tax liability.</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U.S. Congress, the Organisation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project. These and other tax laws and related regulations changes, to the extent adopted, may increase tax uncertainty, result in higher compliance costs and adversely affect our provision for income taxes, results of operations and/or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regulatory landscape in which we operate is constantly evolving and subject to significant change, including as a result of evolving political and social pressures. Future laws, regulations and regulatory reforms,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20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Proposed or pending legislative or regulatory changes, or future legislative or regulatory changes, at the federal, state or local level may decrease demand for our services, increase our costs, including our labor costs, and negatively affect our business and our results of operations.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terms of employment for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restricting our ability to meet our customers’ expectations and demands, any of which could negatively affect our business and our results of operations. If such regulations are adopted, they could increase our cost of operations or hinder our ability to meet our customers’ expectations and demands, either of which would negatively affect our business and our results of operations.</w:t>
      </w:r>
    </w:p>
    <w:p>
      <w:pPr>
        <w:spacing w:after="0" w:line="193"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Additionally, significant regulatory changes at the federal, state or local level may negatively affect economic output, cause growth to slow, reduce consumer spending and sentiment and result in decreased demand for our services, negatively affecting our business and our results of operations.</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consumer spending, both in North America and Europe, could have a material adverse impact on our business.</w:t>
      </w:r>
    </w:p>
    <w:p>
      <w:pPr>
        <w:spacing w:after="0" w:line="19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Environmental, Social and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environmental laws and regulations could result in significant costs that adversely affect our consolidated results of operations.</w:t>
      </w:r>
    </w:p>
    <w:p>
      <w:pPr>
        <w:spacing w:after="0" w:line="2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operating locations are subject to environmental laws and regulations relating to the protection of the environment and health and safety matters, including those governing discharges of pollutants into the air and water, the management and disposal of hazardous substances and wastes and the clean-up of contaminated sites. The operation of our businesses entails risks under environmental laws and regulations. We could incur significant costs, including clean-up costs, fines and sanctions and claims by third parties for property damage and personal injury, as a result of violations of or liabilities under these laws and regulations. In addition, potentially significant expenditures could be required to comply with environmental laws and regulations, including requirements that may be adopted or imposed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achieve our ESG goals are subject to risks, many of which are outside of our control, and our reputation could be harmed if we fail to meet such goals.</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Companies across all industries are facing increasing scrutiny from stakeholders related to ESG matters, including practices and disclosures related to environmental stewardship; social responsibility; diversity, equity and inclusion; and workplace rights. Our ability to achieve our ESG goals, including our goal to achieve 30% reduction in Greenhouse Gas (“GHG”) emissions by 2030, and to accurately and transparently report our progress presents numerous operational, financial, legal and other risks, and may be dependent on the actions of suppliers and other third parties, all of which are outside of our control. If we are unable to meet our ESG goals or evolving stakeholder expectations and industry standards, or if we are perceived to have not responded appropriately to the growing concern for ESG issues, our reputation could be negatively impacted. In addition, in recent years, investor advocacy groups and certain institutional investors have placed increasing importance on ESG matters. If, as a result of their assessment of our ESG practices, certain investors are unsatisfied with our actions or progress, they may reconsider their investment in our Company. As the nature, scope and complexity of ESG reporting, diligence and disclosure requirements expand, including the SEC’s recently proposed disclosure requirements regarding, among other matters, GHG emissions, we may have to undertake additional costs to control, assess and report on ESG metrics. Any failure or perceived failure, whether or not valid, to pursue or fulfill our ESG goals, targets and objectives or to satisfy various ESG reporting standards within the timelines we announce, or at all, could increase the risk of litigation.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the Separation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If the Separation, together with certain related transactions, does not qualify as a transaction that is generally tax-free for U.S. federal income tax purposes, we could be subject to significant tax liabilities, and, in certain circumstances, we could be required to indemnify XPO for material amounts of taxes and other related amounts pursuant to indemnification obligations under the Tax Matters Agreement by and between XPO and GXO (the “TMA”).</w:t>
      </w: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Separation, XPO received an opinion of outside counsel regarding the qualification of certain elements of the Separation under Section 355 of the Internal Revenue Code (the “Code”). The opinion of counsel was based upon and relies on, among other things, various facts and assumptions, as well as certain representations, statements, and undertakings of XPO. Notwithstanding the receipt of the opinion of counsel, the U.S. Internal Revenue Service (the “IRS”), could determine that the Separation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represents the judgment of such counsel and will not be binding on the IRS or any court, and the IRS or a court may disagree with the conclusions in the opinion of counsel. Accordingly, notwithstanding receipt of the opinion of counsel, there can be no assurance that the IRS will not assert that the Separation and/or certain related transactions do not qualify for tax-free treatment for U.S. federal income tax purposes or that a court would not sustain such a challenge. In the event the IRS were to prevail with such a challenge, we, as well as XPO and XPO’s stockholders, could be subject to significant U.S. federal income tax liability.</w:t>
      </w:r>
    </w:p>
    <w:p>
      <w:pPr>
        <w:spacing w:after="0" w:line="19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the Separation,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GXO common stock in a taxable sale for its fair market value, and XPO stockholders who receive such GXO shares in the distribution would be subject to tax as if they had received a taxable distribution equal to the fair market value of such shares.</w:t>
      </w:r>
    </w:p>
    <w:p>
      <w:pPr>
        <w:spacing w:after="0" w:line="19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addition, as part of and prior to the Separation, XPO and its subsidiaries completed an internal reorganization, and XPO, GXO and their respective subsidiaries incurred certain tax costs in connection with the internal reorganization, including non-U.S. tax costs resulting from transactions in non-U.S. jurisdictions, which may be material. With respect to certain transactions undertaken as part of the internal reorganization, XPO obtained opinions of external tax advisors regarding the tax treatment of such transactions. Such opinions are based and relied on,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5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things, various facts and assumptions, as well as certain representations, statements and undertakings of XPO, GXO or their respective subsidiaries. If any of these representations or statements is, or becomes, inaccurate or incomplete, or if XPO, GXO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the relevant taxing authorities prevail with any challenge in respect of any relevant transaction, XPO, GXO and their subsidiaries could be subject to significant tax liabilities.</w:t>
      </w:r>
    </w:p>
    <w:p>
      <w:pPr>
        <w:spacing w:after="0" w:line="19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TMA, we generally are required to indemnify XPO for any taxes resulting from the Separation (and any related costs and other damages) to the extent such amounts resulted from (i) an acquisition of all or certain portions of the equity securities or assets of GXO, whether by merger or otherwise (and regardless of whether we participated in or otherwise facilitated the acquisition), (ii) certain other actions or failures to act by GXO, or (iii) any breach of GXO’s covenants or undertakings contained in the Separation and Distribution Agreement and certain other agreements and documents. Further, under the TMA, we may be required to indemnify XPO for a specified portion of any taxes (and any related costs and other damages) arising as a result of the failure of the Separation and certain related transactions to qualify as a transaction that is generally tax-free (including as a result of Section 355(e) of the Code) or a failure of any internal distribution that is intended to qualify as a transaction that is generally tax-free to so qualify, in each case, to the extent such amounts did not result from a disqualifying action by, or acquisition of equity securities of, XPO or GXO. Any such indemnity obligations could be 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stockholder’s percentage of ownership in GXO may be diluted in the future at any given time.</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future, existing holders of our common stock may be diluted because of equity issuances for acquisitions, capital market transactions, or otherwise, including any equity awards that we will grant to our directors, officers and employees. Our employees have stock-based awards that correspond to shares of our common stock after the Separation as a result of the conversion of their XPO stock-based awards. In addition, the compensation committee of our board of directors has granted and is likely to continue to grant additional stock-based awards to our employees under our employee benefits plans. Such awards will have a dilutive effect on the number of GXO shares outstanding, and therefore on our earnings per share, which could adversely affect the market price of our common stock.</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provisions in GXO’s amended and restated certificate of incorporation and bylaws, and of Delaware law, may prevent or delay an acquisition of GXO, which could decrease the trading price of GXO’s common stock.</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w:t>
      </w:r>
    </w:p>
    <w:p>
      <w:pPr>
        <w:spacing w:after="0" w:line="192" w:lineRule="exact"/>
        <w:rPr>
          <w:sz w:val="20"/>
          <w:szCs w:val="20"/>
          <w:color w:val="auto"/>
        </w:rPr>
      </w:pPr>
    </w:p>
    <w:p>
      <w:pPr>
        <w:ind w:left="660" w:hanging="24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remaining directors to fill vacancies on our board of directors;</w:t>
      </w:r>
    </w:p>
    <w:p>
      <w:pPr>
        <w:spacing w:after="0" w:line="23" w:lineRule="exact"/>
        <w:rPr>
          <w:rFonts w:ascii="Arial" w:cs="Arial" w:eastAsia="Arial" w:hAnsi="Arial"/>
          <w:sz w:val="18"/>
          <w:szCs w:val="18"/>
          <w:color w:val="auto"/>
        </w:rPr>
      </w:pPr>
    </w:p>
    <w:p>
      <w:pPr>
        <w:ind w:left="660" w:hanging="24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stockholders’ ability to call a special stockholder meeting or act by written consent;</w:t>
      </w:r>
    </w:p>
    <w:p>
      <w:pPr>
        <w:spacing w:after="0" w:line="9" w:lineRule="exact"/>
        <w:rPr>
          <w:rFonts w:ascii="Arial" w:cs="Arial" w:eastAsia="Arial" w:hAnsi="Arial"/>
          <w:sz w:val="18"/>
          <w:szCs w:val="18"/>
          <w:color w:val="auto"/>
        </w:rPr>
      </w:pPr>
    </w:p>
    <w:p>
      <w:pPr>
        <w:ind w:left="660" w:hanging="24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and</w:t>
      </w:r>
    </w:p>
    <w:p>
      <w:pPr>
        <w:spacing w:after="0" w:line="9" w:lineRule="exact"/>
        <w:rPr>
          <w:rFonts w:ascii="Arial" w:cs="Arial" w:eastAsia="Arial" w:hAnsi="Arial"/>
          <w:sz w:val="18"/>
          <w:szCs w:val="18"/>
          <w:color w:val="auto"/>
        </w:rPr>
      </w:pPr>
    </w:p>
    <w:p>
      <w:pPr>
        <w:ind w:left="660" w:hanging="24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are subject to Section 203 of the Delaware General Corporate Law (the “DGCL”), which could have the effect of delaying or preventing a change of control.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in certain circumstances an acquisition or further issuance of our stock may trigger the application of Section 355(e) of the Code, causing the Separation to be taxable to XPO. Under the TMA, we are required to indemnify XPO for the resulting tax, and this indemnity obligation might discourage, delay or prevent a change of control that our stockholders may consider favorable.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GXO’s amended and restated certificate of incorporation contains an exclusive forum provision that may discourage lawsuits against GXO and GXO’s directors and officers.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the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9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To the fullest extent permitted by law, this exclusive forum provision will apply to state and federal law claims, including claims under the federal securities laws, including the Securities Act and the Exchange Act, although GXO stockholders will not be deemed to have waived GXO’s compliance with the federal securities laws and the rules and regulations thereunder.</w:t>
      </w:r>
    </w:p>
    <w:p>
      <w:pPr>
        <w:spacing w:after="0" w:line="2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GXO or our directors or officers, which may discourage such lawsuits against GXO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2" w:name="page23"/>
    <w:bookmarkEnd w:id="22"/>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of December 31, 2022, we operated in 979 facilities, including five corporate offices, located in the United States, United Kingdom, and Europe, of which 372 facilities are owned or leased by our customers. In the aggregate, we occupied 197 million square feet in our locations.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ind w:left="900"/>
              <w:spacing w:after="0"/>
              <w:rPr>
                <w:sz w:val="20"/>
                <w:szCs w:val="20"/>
                <w:color w:val="auto"/>
              </w:rPr>
            </w:pPr>
            <w:r>
              <w:rPr>
                <w:rFonts w:ascii="Arial" w:cs="Arial" w:eastAsia="Arial" w:hAnsi="Arial"/>
                <w:sz w:val="14"/>
                <w:szCs w:val="14"/>
                <w:b w:val="1"/>
                <w:bCs w:val="1"/>
                <w:color w:val="auto"/>
              </w:rPr>
              <w:t>Facilities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Square Footage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Locations</w:t>
            </w: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Leased Facilities</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Owned Facilities</w:t>
            </w:r>
          </w:p>
        </w:tc>
        <w:tc>
          <w:tcPr>
            <w:tcW w:w="124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1"/>
              </w:rPr>
              <w:t>Customer</w:t>
            </w:r>
          </w:p>
        </w:tc>
        <w:tc>
          <w:tcPr>
            <w:tcW w:w="12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Leased Facilities</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Owned Facilities</w:t>
            </w:r>
          </w:p>
        </w:tc>
        <w:tc>
          <w:tcPr>
            <w:tcW w:w="122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Customer</w:t>
            </w: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158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4"/>
                <w:szCs w:val="14"/>
                <w:b w:val="1"/>
                <w:bCs w:val="1"/>
                <w:color w:val="auto"/>
                <w:w w:val="89"/>
              </w:rPr>
              <w:t xml:space="preserve">Facilities </w:t>
            </w:r>
            <w:r>
              <w:rPr>
                <w:rFonts w:ascii="Arial" w:cs="Arial" w:eastAsia="Arial" w:hAnsi="Arial"/>
                <w:sz w:val="18"/>
                <w:szCs w:val="18"/>
                <w:b w:val="1"/>
                <w:bCs w:val="1"/>
                <w:color w:val="auto"/>
                <w:w w:val="89"/>
                <w:vertAlign w:val="superscript"/>
              </w:rPr>
              <w:t>(1)</w:t>
            </w:r>
          </w:p>
        </w:tc>
        <w:tc>
          <w:tcPr>
            <w:tcW w:w="120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line="201" w:lineRule="exact"/>
              <w:rPr>
                <w:sz w:val="20"/>
                <w:szCs w:val="20"/>
                <w:color w:val="auto"/>
              </w:rPr>
            </w:pPr>
            <w:r>
              <w:rPr>
                <w:rFonts w:ascii="Arial" w:cs="Arial" w:eastAsia="Arial" w:hAnsi="Arial"/>
                <w:sz w:val="14"/>
                <w:szCs w:val="14"/>
                <w:b w:val="1"/>
                <w:bCs w:val="1"/>
                <w:color w:val="auto"/>
                <w:w w:val="86"/>
              </w:rPr>
              <w:t xml:space="preserve">Facilities </w:t>
            </w:r>
            <w:r>
              <w:rPr>
                <w:rFonts w:ascii="Arial" w:cs="Arial" w:eastAsia="Arial" w:hAnsi="Arial"/>
                <w:sz w:val="18"/>
                <w:szCs w:val="18"/>
                <w:b w:val="1"/>
                <w:bCs w:val="1"/>
                <w:color w:val="auto"/>
                <w:w w:val="86"/>
                <w:vertAlign w:val="superscript"/>
              </w:rPr>
              <w:t>(1)</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440" w:type="dxa"/>
            <w:vAlign w:val="bottom"/>
            <w:tcBorders>
              <w:top w:val="single" w:sz="8" w:color="auto"/>
              <w:bottom w:val="single" w:sz="8" w:color="CCEEFF"/>
            </w:tcBorders>
            <w:gridSpan w:val="4"/>
            <w:shd w:val="clear" w:color="auto" w:fill="CCEEFF"/>
          </w:tcPr>
          <w:p>
            <w:pPr>
              <w:jc w:val="center"/>
              <w:ind w:right="100"/>
              <w:spacing w:after="0"/>
              <w:rPr>
                <w:sz w:val="20"/>
                <w:szCs w:val="20"/>
                <w:color w:val="auto"/>
              </w:rPr>
            </w:pPr>
            <w:r>
              <w:rPr>
                <w:rFonts w:ascii="Arial" w:cs="Arial" w:eastAsia="Arial" w:hAnsi="Arial"/>
                <w:sz w:val="14"/>
                <w:szCs w:val="14"/>
                <w:i w:val="1"/>
                <w:iCs w:val="1"/>
                <w:color w:val="auto"/>
                <w:w w:val="98"/>
              </w:rPr>
              <w:t>(in millions)</w:t>
            </w: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1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Locations owned or leased by our customers.</w:t>
      </w:r>
    </w:p>
    <w:p>
      <w:pPr>
        <w:spacing w:after="0" w:line="2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the United Kingdom.</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Locations are primarily in Asia and Latin America.</w:t>
      </w:r>
    </w:p>
    <w:p>
      <w:pPr>
        <w:spacing w:after="0" w:line="24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lease our global headquarters in Greenwich, Connecticut, our executive office in London, England, and various other offices in the United States, United Kingdom, France and India to support our global executive and shared services functions. We believe that our facilities are sufficient for our current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Item 8 of Part II, “Financial Statements and Supplementary Data — Note — 18 Commitments and Contingencies”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“GXO.” On February 13, 2023, there were approximately 88 record holders of our common stock.</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never declared or paid cash dividends on our common stock. Any determination to pay dividends on our common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2, 2021, our common stock began regular-way trading. The following graph sets forth the cumulative total stockholder return to GXO’s stockholders for the period beginning August 2, 2021, through December 31, 2022, as well as the corresponding returns on the S&amp;P 400 MidCap Index, the S&amp;P 500 Technology Index and the S&amp;P 500 Transportation Index.</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stock performance assumes $100 was invested on August 2, 2021 in our common stock, the S&amp;P 400 MidCap Index, the S&amp;P 500 Technology Index and the S&amp;P 500 Transportation Index, including reinvestment of dividends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134620</wp:posOffset>
            </wp:positionV>
            <wp:extent cx="4714875" cy="257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8/2/2021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9/30/2021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12/31/2021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3/31/2022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6/30/2022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9/30/2022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12/31/2022</w:t>
            </w:r>
          </w:p>
        </w:tc>
      </w:tr>
      <w:tr>
        <w:trPr>
          <w:trHeight w:val="25"/>
        </w:trPr>
        <w:tc>
          <w:tcPr>
            <w:tcW w:w="5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GXO</w:t>
            </w:r>
          </w:p>
        </w:tc>
        <w:tc>
          <w:tcPr>
            <w:tcW w:w="1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144.01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68.61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55.59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67.69</w:t>
            </w:r>
          </w:p>
        </w:tc>
      </w:tr>
      <w:tr>
        <w:trPr>
          <w:trHeight w:val="182"/>
        </w:trPr>
        <w:tc>
          <w:tcPr>
            <w:tcW w:w="540" w:type="dxa"/>
            <w:vAlign w:val="bottom"/>
          </w:tcPr>
          <w:p>
            <w:pPr>
              <w:spacing w:after="0"/>
              <w:rPr>
                <w:sz w:val="20"/>
                <w:szCs w:val="20"/>
                <w:color w:val="auto"/>
              </w:rPr>
            </w:pPr>
            <w:r>
              <w:rPr>
                <w:rFonts w:ascii="Arial" w:cs="Arial" w:eastAsia="Arial" w:hAnsi="Arial"/>
                <w:sz w:val="14"/>
                <w:szCs w:val="14"/>
                <w:color w:val="auto"/>
                <w:w w:val="94"/>
              </w:rPr>
              <w:t>S&amp;P 400</w:t>
            </w:r>
          </w:p>
        </w:tc>
        <w:tc>
          <w:tcPr>
            <w:tcW w:w="1960" w:type="dxa"/>
            <w:vAlign w:val="bottom"/>
          </w:tcPr>
          <w:p>
            <w:pPr>
              <w:ind w:left="20"/>
              <w:spacing w:after="0"/>
              <w:rPr>
                <w:sz w:val="20"/>
                <w:szCs w:val="20"/>
                <w:color w:val="auto"/>
              </w:rPr>
            </w:pPr>
            <w:r>
              <w:rPr>
                <w:rFonts w:ascii="Arial" w:cs="Arial" w:eastAsia="Arial" w:hAnsi="Arial"/>
                <w:sz w:val="14"/>
                <w:szCs w:val="14"/>
                <w:color w:val="auto"/>
              </w:rPr>
              <w:t>MidCap Index</w:t>
            </w: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100.06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84.28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81.85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90.28</w:t>
            </w:r>
          </w:p>
        </w:tc>
      </w:tr>
      <w:tr>
        <w:trPr>
          <w:trHeight w:val="20"/>
        </w:trPr>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S&amp;P 500</w:t>
            </w: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Technology Index</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82.83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80.94</w:t>
            </w:r>
          </w:p>
        </w:tc>
      </w:tr>
      <w:tr>
        <w:trPr>
          <w:trHeight w:val="191"/>
        </w:trPr>
        <w:tc>
          <w:tcPr>
            <w:tcW w:w="540" w:type="dxa"/>
            <w:vAlign w:val="bottom"/>
          </w:tcPr>
          <w:p>
            <w:pPr>
              <w:spacing w:after="0"/>
              <w:rPr>
                <w:sz w:val="20"/>
                <w:szCs w:val="20"/>
                <w:color w:val="auto"/>
              </w:rPr>
            </w:pPr>
            <w:r>
              <w:rPr>
                <w:rFonts w:ascii="Arial" w:cs="Arial" w:eastAsia="Arial" w:hAnsi="Arial"/>
                <w:sz w:val="14"/>
                <w:szCs w:val="14"/>
                <w:color w:val="auto"/>
                <w:w w:val="94"/>
              </w:rPr>
              <w:t>S&amp;P 500</w:t>
            </w:r>
          </w:p>
        </w:tc>
        <w:tc>
          <w:tcPr>
            <w:tcW w:w="1960" w:type="dxa"/>
            <w:vAlign w:val="bottom"/>
          </w:tcPr>
          <w:p>
            <w:pPr>
              <w:ind w:left="20"/>
              <w:spacing w:after="0"/>
              <w:rPr>
                <w:sz w:val="20"/>
                <w:szCs w:val="20"/>
                <w:color w:val="auto"/>
              </w:rPr>
            </w:pPr>
            <w:r>
              <w:rPr>
                <w:rFonts w:ascii="Arial" w:cs="Arial" w:eastAsia="Arial" w:hAnsi="Arial"/>
                <w:sz w:val="14"/>
                <w:szCs w:val="14"/>
                <w:color w:val="auto"/>
              </w:rPr>
              <w:t>Transportation Index</w:t>
            </w:r>
          </w:p>
        </w:tc>
        <w:tc>
          <w:tcPr>
            <w:tcW w:w="1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109.70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89.94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79.95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24, 2022, the Company completed the Clipper Acquisition. The Company acquired Clipper for $1,106 million, consisting of $902 million in cash and the issuance of 3,757,657 shares of GXO common stock having a value of $204 million.</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Pursuant to the terms of the Clipper Acquisition, 7,551 shares of GXO common stock were issued during the quarter ended December 31, 2022 in connection with the exercise of options under a court-sanctioned scheme of arrangement. These shares were issued in reliance on the exemption from registration provided by Section 3(a)(10) of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or other governmental authority expressly authorized by law, to grant such approval.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This Form 10-K contains certain forward-looking statements that are intended to be covered by the safe harbors created by The Private Securities Litigation Reform Act of 1995. Please see “Cautionary Statement Regarding Forward-Looking Statements” and “Risk Factors” for a discussion of the uncertainties, risks and assumptions associated with these statements.</w:t>
      </w:r>
    </w:p>
    <w:p>
      <w:pPr>
        <w:spacing w:after="0" w:line="184" w:lineRule="exact"/>
        <w:rPr>
          <w:sz w:val="20"/>
          <w:szCs w:val="20"/>
          <w:color w:val="auto"/>
        </w:rPr>
      </w:pPr>
    </w:p>
    <w:p>
      <w:pPr>
        <w:ind w:right="80"/>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Also, the following discussion and analysis of our financial conditions and results of operations generally discusses 2022 and 2021 items and year-to-year comparisons between 2022 and 2021. Discussions of 2020 items and year-to-year comparisons between 2021 and 2020 are not included in this Annual Report and can be found in Part II, Item 7, “</w:t>
      </w:r>
      <w:hyperlink r:id="rId35">
        <w:r>
          <w:rPr>
            <w:rFonts w:ascii="Arial" w:cs="Arial" w:eastAsia="Arial" w:hAnsi="Arial"/>
            <w:sz w:val="18"/>
            <w:szCs w:val="18"/>
            <w:i w:val="1"/>
            <w:iCs w:val="1"/>
            <w:u w:val="single" w:color="auto"/>
            <w:color w:val="0000FF"/>
          </w:rPr>
          <w:t>Management’s Discussion and Analysis of Financial Condition and Results of Operations</w:t>
        </w:r>
      </w:hyperlink>
      <w:r>
        <w:rPr>
          <w:rFonts w:ascii="Arial" w:cs="Arial" w:eastAsia="Arial" w:hAnsi="Arial"/>
          <w:sz w:val="18"/>
          <w:szCs w:val="18"/>
          <w:i w:val="1"/>
          <w:iCs w:val="1"/>
          <w:color w:val="auto"/>
        </w:rPr>
        <w:t>” in our Annual Report on Form 10-K for the year ended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GXO Logistics, Inc., together with its subsidiaries (“GXO,” the “Company” or “we”), is the largest pure-play contract logistics provider in the world and a foremost innovator in an industry. We provide our customers with high-value-add warehousing and distribution, order fulfillment, e-commerce, reverse logistics and other supply chain services differentiated by our ability to deliver technology-enabled, customized solutions at scale. Our customers rely on us to move their goods with high efficiency through their supply chains — from the moment inbound goods arrive at our logistics sites,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expanding in scope.</w:t>
      </w:r>
    </w:p>
    <w:p>
      <w:pPr>
        <w:spacing w:after="0" w:line="21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most dramatic growth in secular demand in recent years has been in e-commerce and related sectors, including omnichannel retail and other direct-to-consumer channels. We expect to attract new customers and expand the services we provide to existing customers through new projects, thus earning more of their external and internal logistics spend. We use technology to manage advanced automation, labor productivity, safety and the complex flow of goods within sophisticated logistics environments.</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while the variable component is determined based on expected volumes and associated labor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separation (the “Separation”) from XPO, Inc. (“XPO”), GXO historical financial statements were prepared on a standalone combined basis and were derived from the consolidated financial statements and accounting records of XPO. On August 2, 2021, the Company became a standalone publicly traded company, and its financial statements post-Separation are now prepared on a consolidated basis. The combined consolidated financial statements for all periods presented prior to the Separation are now referred to as “Consolidated Financial Statements” and have been prepared under U.S generally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Prior to the Separation, GXO historical assets and liabilities presented were wholly owned by XPO and were reflected on a historical cost basis. In connection with the Separation, GXO assets and liabilities were transferred to the Company on a carry-over basis.</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the Separation, GXO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 depreciation and amortization, which include adjustments for transaction and integration costs, as well as restructuring costs and other adjustments, or headcount. The majority of these allocated costs are recorded within Selling, general and administrative expense (“SG&amp;A”), Depreciation and amortization expense and Transaction and integration costs in the Consolidated Statements of Operations.</w:t>
      </w:r>
    </w:p>
    <w:p>
      <w:pPr>
        <w:spacing w:after="0" w:line="19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May 24, 2022, the Company completed the acquisition of Clipper Logistics plc (“Clipper”), an omnichannel retail logistics specialist based in Leeds, England (the “Clipper Acquisition”). For the year ended December 31, 2022, the Company recorded $569 million and $4 million of revenue and income before income taxes,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GXO has one reportable segment.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99"/>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Year Ended December 31,</w:t>
            </w:r>
          </w:p>
        </w:tc>
        <w:tc>
          <w:tcPr>
            <w:tcW w:w="1680" w:type="dxa"/>
            <w:vAlign w:val="bottom"/>
            <w:tcBorders>
              <w:bottom w:val="single" w:sz="8" w:color="auto"/>
            </w:tcBorders>
          </w:tcPr>
          <w:p>
            <w:pPr>
              <w:spacing w:after="0"/>
              <w:rPr>
                <w:sz w:val="24"/>
                <w:szCs w:val="24"/>
                <w:color w:val="auto"/>
              </w:rPr>
            </w:pP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Direct operating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Restructuring costs and 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4660" w:type="dxa"/>
            <w:vAlign w:val="bottom"/>
            <w:gridSpan w:val="2"/>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1"/>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for 2022 increased by 13%, or $1.1 billion, to $9.0 billion compared with $7.9 billion for 2021. The increase in 2022 compared to the prior year reflects an increase of $569 million due to the Clipper Acquisition, $391 million in our Americas and Asia-Pacific operations and $172 million from our United Kingdom and Ireland operations. This increase was partially offset by a decrease of $79 million in our Continental Europe operations, primarily due to the deconsolidation of a 50% owned joint venture and foreign currency movement. Foreign currency movement decreased revenue by $653 million in 2022.</w:t>
      </w:r>
    </w:p>
    <w:p>
      <w:pPr>
        <w:spacing w:after="0" w:line="215"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Direct operating expenses comprise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Direct operating expense for 2022 increased by 12%, or $806 million, to $7.4 billion compared with $6.6 billion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2021. As a percentage of revenue, direct operating expense was 82.8% and 83.6% in 2022 and 2021, respectively. Direct operating expense increased primarily due to higher personnel and temporary labor expenses of $528 million, as well as higher third-party transportation costs and facilities expense of $224 million.</w:t>
      </w:r>
    </w:p>
    <w:p>
      <w:pPr>
        <w:spacing w:after="0" w:line="211"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SG&amp;A primarily consists of salary and benefit costs for executive and certain administration functions, professional fees, facility costs other than those related to our logistics facilities, bad debt expense and legal costs. SG&amp;A for 2022 increased by 24%, or $172 million, to $886 million, compared with $714 million in 2021. SG&amp;A increased primarily due to higher personnel expenses.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for 2022 decreased to $329 million compared with $335 million for 2021. Depreciation and amortization expense included amortization of intangible assets of $68 million and $61 million in 2022 and 2021, respectively. The decrease in depreciation and amortization expense was primarily a result of $15 million allocated corporate charges from XPO before the Separation in the prior year, offset by higher amortization as a result of the Clipper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Transaction and integration costs were $61 million in 2022, compared with $99 million for 2021. Transaction and integration costs in 2022 include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$46 million related to the Clipper Acquisition, reflecting costs associated with financing arrangements, advisory fees and integration costs, and $15 million from the Separation, primarily reflecting rebranding costs. Transaction and integration costs in 2021 primarily relate to the Separation and the acquisition of the majority of Kuehne + Nagel’s contract logistics operations in the U.K. (the “K + N Acquisition”).</w:t>
      </w:r>
    </w:p>
    <w:p>
      <w:pPr>
        <w:spacing w:after="0" w:line="20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These costs are primarily related to severance; including projects to optimize human resources, finance and information technology activities; and are not associated with customer attrition. Restructuring costs and other for 2022 were $32 million compared with $4 million for 2021. Restructuring costs and other for 2022 included $24 million related to severance costs, primarily from the exit of non-core businesses and central efficiency projects, and $8 million related to the deconsolidation of a joint venture.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was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periodic pension income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Foreign currency gain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Realized foreign currency option and forward contracts gain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120" w:type="dxa"/>
            <w:vAlign w:val="bottom"/>
            <w:gridSpan w:val="2"/>
          </w:tcPr>
          <w:p>
            <w:pPr>
              <w:ind w:left="120"/>
              <w:spacing w:after="0"/>
              <w:rPr>
                <w:sz w:val="20"/>
                <w:szCs w:val="20"/>
                <w:color w:val="auto"/>
              </w:rPr>
            </w:pPr>
            <w:r>
              <w:rPr>
                <w:rFonts w:ascii="Arial" w:cs="Arial" w:eastAsia="Arial" w:hAnsi="Arial"/>
                <w:sz w:val="16"/>
                <w:szCs w:val="16"/>
                <w:color w:val="auto"/>
              </w:rPr>
              <w:t>Unrealized foreign currency option and forward contracts gain (loss)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 currency transaction and remeasurement gain (loss)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foreign currency gain</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Interest expense primarily consists of interest related to indebtedness for money borrowed, capital lease obligations and cross currency swaps used in net investment hedges. Interest expense for 2022 increased by 38%, or $8 million, to $29 million, compared to $21 million for 2021 as a result of higher outstanding debt.</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Income before income taxes for 2022, increased by $111 million, to $264 million, compared with $153 million for 2021. The increase was primarily due to growth in our business, lower transaction and integration costs, and other income from a pension plan and foreign currency contracts, partially offset by higher restructuring costs. Income from continuing operations before income taxes for our domestic operations was $105 million for 2022, compared with a loss of $25 million in 2021. The increase in income in our domestic operations for 2022 was driven by a 16% increase in revenue resulting primarily from the reduced impact of COVID-19 on our business in 2022 and lower depreciation and amortization expense of $20 million. Income from continuing operations before income taxes for our foreign operations was $159 million for 2022, compared with income of $178 million in 2021. The decrease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income was primarily driven by the impact of foreign currency movement, offset by an increase of $4 million in additional income resulting from the Clipper Acquisition, as well as an increase in pension income of $14 million.</w:t>
      </w:r>
    </w:p>
    <w:p>
      <w:pPr>
        <w:spacing w:after="0" w:line="21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Income tax for 2022 was a $64 million expense compared to an $8 million benefit for 2021. Our effective tax rate was 24.2% in 2022 and not meaningful in 2021. The increase in our effective income tax rate was driven by contribution and margin-based taxes and offset by the benefit from changes to the valuation allowance and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ability to fund our operations and anticipated capital needs are reliant upon the generation of cash from operations, supplemented as necessary by periodic utilization of our revolving credit facility. Our principal uses of cash in the future will be primarily to fund our operations, working capital needs, capital expenditures, repayment of borrowings and strategic business development transactions. The timing and magnitude of our start-ups can vary and may positively or negatively impact our cash flows.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continually evaluate our liquidity requirements and capital structure in light of our operating needs, growth initiatives and capital resources. We believe that our existing liquidity and sources of capital are sufficient to support our operations over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2023 capital expenditures include fulfillment costs and investments in technology and automation to improve the speed and accuracy of order fulfillment and the resiliency of supply chains. The level and the timing of the Company’s capital expenditures within these categories can vary as a result of a variety of factors outside our control, such as the timing of new contracts, availability of labor and materials, and foreign currency fluctuations. We believe that we have significant discretion over the amount and timing of our capital expenditures as we are not subject to any agreement that would require significant capital expenditures on a designated schedule or upon the occurrence of designated events.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Five-Year Term Loan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25, 2022, the Company entered into a five-year unsecured Term Loan (the “Five-Year Term Loan”) that provided a $500 million unsecured term loan facility to fund the Clipper Acquisition. On May 26, 2022, the Company borrowed $500 million that will mature on May 26, 2027. The loan bears interest at a fluctuating rate per annum equal to, at the Company’s option, the alternate base rate or the adjusted Secured Overnight Financing Rate (SOFR), plus an applicable margin based on the Company’s credit ratings.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Delayed Draw Term Loan</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March 22, 2022, the Company entered into an unsecured delayed draw Term Loan (the “Delayed Draw Term Loan”) that provided a £375 million unsecured term loan facility to fund the Clipper Acquisition. The loan was available to the Company in U.S. dollars or British pounds sterling. On May 26, 2022, the Company borrowed, in U.S. dollars, a $165 million two-year term loan tranche (the “Two-Year Term Loan”) and a $235 million three-year term loan tranche (the “Three-Year Term Loan”) that will mature on May 26, 2024 and May 26, 2025, respectively. The Two-Year Term Loan and Three-Year Term Loan bear interest at a fluctuating rate per annum equal to, at the Company’s option, the alternate base rate or the adjusted SOFR, plus an applicable margin based on the Company’s credit ratings. In December 2022, the Company repaid $50 million against the Two-Year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Term Loan</w:t>
      </w:r>
    </w:p>
    <w:p>
      <w:pPr>
        <w:spacing w:after="0" w:line="25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February 28, 2022, the Company entered into an unsecured Bridge Term Loan (the “Bridge Term Loan”) that provided a £745 million unsecured term loan facility to fund the Clipper Acquisition. The commitments under the Bridge Term Loan were terminated with the effectiveness of the Five-Year Term Loan and the Delayed Draw Term Loan. No amounts were drawn under the Bridge Term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2021, prior to the Separation, the Company completed an offering of $800 million aggregate principal amount of notes, consisting of $400 million of notes due 2026 (the “2026 Notes”) and $400 million of notes due 2031 (the “2031 Notes”). The 2026 Notes bear interest at a rate of 1.65% per annum payable semiannually in arrears on January 15 and July 15 of each year, beginning January 15, 2022, and maturing on July 15, 2026. The 2031 Notes bear interest at a rate of 2.65% per annum payable semiannually in arrears on January 15 and July 15 of each year, beginning January 15, 2022, and maturing on July 15, 2031. The Company recognized $6 million of debt discounts and $2 million of debt issuance costs that were recorded as a reduction to the related debt instrument and will be amortized to interest expense over the life of the 2026 Notes and 2031 Notes.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2021, prior to the Separation, the Company entered into a five-year unsecured multi-currency Revolving Credit Facility (the “Revolving Credit Facility”). The Revolving Credit Facility provides commitments of up to $800 million, of which $60 million will be available for the issuance of letters of credit. Loans under the Revolving Credit Facility bear interest at a fluctuating rate equal to (i) with respect to borrowings in dollars, at the Company’s option, the alternate base rate or the reserve-adjusted LIBOR, (ii) with respect to borrowings in Canadian dollars, the reserve-adjusted Canadian Dollar Offered Rate, and (iii) with respect to borrowings in Euros, the reserve-adjusted Euro Interbank Offered Rate, in each case, plus an applicable margin calculated based on the Company’s credit ratings. In addition, the Company is paying a commitment fee of 0.15% per annum on the unused portion of the commitments under the Revolving Credit Facility. No amounts were outstanding under the Revolving Credit Facility as of December 31, 2022 or December 31, 2021.</w:t>
      </w:r>
    </w:p>
    <w:p>
      <w:pPr>
        <w:spacing w:after="0" w:line="21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pursuant to the Clipper Acquisition, the Company assumed a revolving credit facility agreement under which it may borrow up to approximately £45 million ($54 million as of December 31, 2022) in aggregate at any time, expiring in November 2023. As of December 31, 2022, the Company had $18 million of borrowings outstanding under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Certain Receivables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sells certain of its trade accounts receivables on a non-recourse basis to third-party financial institutions under various factoring agreements. The Company also sold certain European trade accounts receivables under a securitization program terminated in the first quarter of 2022. The Company accounts for these transactions as sales of receivables and presents cash proceeds as cash provided by operating activities in the Consolidated Statements of Cash Flows. The Company uses the sale of these receivables to help manage its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trade receivables sold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Factoring agreements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Receivables sold in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consideration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Securitization program</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sold in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Cash consideration</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purchase price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covenants in the Five-Year Term Loan, the Delayed Draw Term Loan, the Unsecured Notes, and the Revolving Credit Facilities,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complied with the covenants contained in its debt and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and liability balances as of December 31, 2022 and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Borders>
              <w:bottom w:val="single" w:sz="8" w:color="auto"/>
            </w:tcBorders>
          </w:tcPr>
          <w:p>
            <w:pPr>
              <w:spacing w:after="0"/>
              <w:rPr>
                <w:sz w:val="20"/>
                <w:szCs w:val="20"/>
                <w:color w:val="auto"/>
              </w:rPr>
            </w:pPr>
          </w:p>
        </w:tc>
      </w:tr>
      <w:tr>
        <w:trPr>
          <w:trHeight w:val="223"/>
        </w:trPr>
        <w:tc>
          <w:tcPr>
            <w:tcW w:w="46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long-term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57 %</w:t>
            </w:r>
          </w:p>
        </w:tc>
      </w:tr>
    </w:tbl>
    <w:p>
      <w:pPr>
        <w:spacing w:after="0" w:line="3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increase in our assets and liabilities from December 31, 2021 to December 31, 2022 primarily reflects the assets acquired and liabilities assumed, as well as various debt instruments entered into in connection with the Clipper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on our Consolidated Statements of Cash Flows, were summarized as follows:</w:t>
      </w:r>
    </w:p>
    <w:p>
      <w:pPr>
        <w:sectPr>
          <w:pgSz w:w="11900" w:h="16838" w:orient="portrait"/>
          <w:cols w:equalWidth="0" w:num="1">
            <w:col w:w="11240"/>
          </w:cols>
          <w:pgMar w:left="320" w:top="1440" w:right="339" w:bottom="1440" w:gutter="0" w:footer="0" w:header="0"/>
        </w:sect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32" w:lineRule="exact"/>
        <w:rPr>
          <w:sz w:val="20"/>
          <w:szCs w:val="20"/>
          <w:color w:val="auto"/>
        </w:rPr>
      </w:pPr>
    </w:p>
    <w:p>
      <w:pPr>
        <w:ind w:left="20" w:right="1800"/>
        <w:spacing w:after="0" w:line="409" w:lineRule="auto"/>
        <w:rPr>
          <w:sz w:val="20"/>
          <w:szCs w:val="20"/>
          <w:color w:val="auto"/>
        </w:rPr>
      </w:pPr>
      <w:r>
        <w:rPr>
          <w:rFonts w:ascii="Arial" w:cs="Arial" w:eastAsia="Arial" w:hAnsi="Arial"/>
          <w:sz w:val="14"/>
          <w:szCs w:val="14"/>
          <w:color w:val="auto"/>
        </w:rPr>
        <w:t>Net cash provided by (used in) financing activities Effect of exchange rates on cash and cash equivalents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6"/>
        </w:trPr>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16"/>
        </w:trPr>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40"/>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77"/>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4"/>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-573405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-222250</wp:posOffset>
            </wp:positionV>
            <wp:extent cx="71323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-856615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300" w:space="720"/>
            <w:col w:w="522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n/m - not meaningful</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 for 2022 increased by $87 million compared with 2021. The increase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$39 million higher income in 2022, and $47 million in non-cash adjustments driven by a decrease in deferred tax benefit for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Investing activities used $1,149 million of cash in 2022 compared with $207 million used in 2021. During 2022, we used $876 million in connection with the Clipper Acquisition, $342 million of cash for capital expenditures, partially offset by $40 million received from the sales of property and equipment and $21 million in net proceeds from the settlement of cross-currency swap agreements, excluding accrued interest. During 2021, we used $250 million of cash for capital expenditures, received $32 million in connection with the K + N Acquisition and received $11 million from sales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Financing activities generated $787 million of cash in 2022 and used $241 million of cash in 2021. The primary sources of cash from financing activities in 2022 were $917 million in proceeds from long-term debt and the revolving credit facility, net, partially offset by $115 million in repayment of debt and finance leases and $16 million in payments for employee taxes on net settlement of equity awards. The primary uses of cash from financing activities in 2021 were $774 million of net transfers to XPO in connection with the Separation, $128 million to purchase the remaining noncontrolling interest in GXO Logistics Europe SAS, $72 million cash used to repay debt and finance leases and $26 million to repay borrowings related to our securitization program. The source of cash from financing activities in 2021 was the issuance of long-term debt of $794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lease certain facilities and equipment under operating and finance lease arrangements. As of December 31, 2022, our outstanding obligations under operating and finance leases were $2.4 billion and $132 million, respectively. See Note — 8 Leases to the Consolidated Financial Statements for additional information.</w:t>
      </w:r>
    </w:p>
    <w:p>
      <w:pPr>
        <w:spacing w:after="0" w:line="2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of December 31, 2022, we have $800 million of unsecured notes outstanding with interest payable in arrears on January 15 and July 15 of each year, and $850 million of variable-rate term loans outstanding with interest payable in arrears at our option monthly, quarterly, or semiannually. See Note — 9 Debt and Financing Arrangements to the Consolidated Financial Statements for additional information.</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we have obligations for agreements to purchase goods or services entered into in the ordinary course of business that are enforceable and legally binding and gross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(“GAAP”). We make assumptions, estimates and judgments that affect our reported amounts of assets, liabilities, revenues, expenses, gains and losses. Material changes in these assumptions, estimates and/or judgments have the potential to materially alter our results of operations. We have identified the following accounting policies to be the most critical as they are important to our financial condition and results of operations, and require significant judgment and estimates on the part of management in their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record tangible and intangible assets acquired and liabilities assumed in business combinations under the purchase method of accounting. We allocate the fair value of purchase consideration to tangible and intangible assets acquired and liabilities assumed based on their estimated fair values. The excess of the fair value of purchase consideration over the fair values of these identifiable assets and liabilities is allocated to goodwill.</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Significant assumptions utilized in the allocation of the purchase price related to intangible assets include future expected cash flows from acquired customer relationships and trade names and discount rates.</w:t>
      </w:r>
    </w:p>
    <w:p>
      <w:pPr>
        <w:spacing w:after="0" w:line="21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estimates of fair value are based upon reasonable assumptions but are inherently uncertain and unpredictable, and as a result, actual results may differ from these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See Note — 4 Acquisitions to the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25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Goodwill is tested at the reporting unit level, which is an operating segment or one level below, on an annual basis and between annual tests if an event occurs or circumstances change that would more likely than not reduce the fair value of a reporting unit below its carrying value. We have three reporting units: i) Americas and Asia-Pacific; ii) United Kingdom and Ireland and iii) Continental Europe.</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each reporting unit, we first assess qualitative factors that are specific to the reporting unit as well as industry and macroeconomic factors to determine whether it is necessary to perform a quantitative goodwill impairment test. The qualitative factors could include a significant change in the business climate, legal factors, operating performance indicators, competition, or the sale or disposition of a significant portion of a reporting unit. If the qualitative assessment indicates that it is more likely than not that an impairment exists, then a quantitative assessment is performed.</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quantitative goodwill impairment test, when performed, includes estimating the fair value of a reporting unit using the income and/or market approach. The income approach of determining fair value is based on the present value of estimated future cash flows, which requires us to make various assumptions, including assumptions about the timing and amount of future cash flows, growth rates and discount rates. The discount rates reflect management’s judgment and are based on a risk-adjusted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using these valuation techniques yields the most appropriate evidence of the reporting unit’s fair value.</w:t>
      </w:r>
    </w:p>
    <w:p>
      <w:pPr>
        <w:spacing w:after="0" w:line="2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52" w:lineRule="exact"/>
        <w:rPr>
          <w:sz w:val="20"/>
          <w:szCs w:val="20"/>
          <w:color w:val="auto"/>
        </w:rPr>
      </w:pPr>
    </w:p>
    <w:p>
      <w:pPr>
        <w:jc w:val="both"/>
        <w:ind w:right="200"/>
        <w:spacing w:after="0" w:line="340" w:lineRule="auto"/>
        <w:rPr>
          <w:sz w:val="20"/>
          <w:szCs w:val="20"/>
          <w:color w:val="auto"/>
        </w:rPr>
      </w:pPr>
      <w:r>
        <w:rPr>
          <w:rFonts w:ascii="Arial" w:cs="Arial" w:eastAsia="Arial" w:hAnsi="Arial"/>
          <w:sz w:val="15"/>
          <w:szCs w:val="15"/>
          <w:color w:val="auto"/>
        </w:rPr>
        <w:t>We sponsor an international defined benefit pension plan. Assumptions used in the accounting for these employee benefit plans include the discount rate and expected return on plan assets. Assumptions are determined based on company data and appropriate market indicators and are evaluated each year at December 31. A change in any of these assumptions would have an effect on net periodic pension costs reported in the consolidated financial statements.</w:t>
      </w:r>
    </w:p>
    <w:p>
      <w:pPr>
        <w:spacing w:after="0" w:line="14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discount rate is determined based on the yield on a portfolio of high-quality bonds, constructed to provide cash flows necessary to meet our pension plans’ expected future benefit payments, as determined for the accumulated benefit obligation. A 25-basis-point decrease in the discount rate would result in an estimated increase in the accumulated benefit obligation of approximately $24 million. The expected return on plan assets assumption is derived using the current and expected asset allocation of the pension plan assets and considering historical as well as expected returns on various classes of plan assets. An increase or decrease of 50-basis-points in the expected long-term rate of return would have decreased or increased 2022 pension expense by approximately $4 million. See Note — 15 Employee Benefit Plans to the Consolidated Financial Statements for additional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related to new accounting standards is included in Note — 2 Basis of Presentation and Significant Accounting Policies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long-term debt portfolio, excluding finance leases and other debt, consists of $800 million fixed-rate notes and $850 million variable-rate loans, complemented by a variable-rate revolving credit facility. We use cross-currency swap agreements to convert $600 million of variable-rate debt from Secured Overnight Financing Rate (“SOFR”) to Euro Interbank Offered Rate (“Euribor”). We also entered into interest rate swap agreements to convert $250 million of variable-rate U.S. dollar (“USD”)-denominated debt into USD-denominated fixed-rate debt. As of December 31, 2022, a hypothetical 1% increase in Euribor would have increased our interest expense by approximately $6 million. For our fixed-rate notes, a 1% increase or decrease in interest rates would have decreased or increased the fair value of our notes by approximately 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 significant proportion of our net assets and income is in non-USD currencies, primarily the Euro (“EUR”) and British pound sterling (“GBP”). We are exposed to currency risk from potential changes in functional currency values of our foreign currency denominated assets, liabilities, and cash flows. Consequently, depreciation of the EUR or the GBP relative to the USD could have an adverse impact on our financial results.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entered into cross-currency swap agreements to manage our foreign currency exchange risk by effectively converting a portion of the fixed-rate USD-denominated debt, including the interest payments, to fixed-rate EUR-denominated debt and a portion of the floating-rate USD-denominated loans, including the interest payments, to floating-rate EUR-denominated debt. We use foreign currency option contracts to mitigate the risk of a reduction in the value of earnings from our operations that use the EUR or GBP as their functional currency.</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2022, a uniform 10% strengthening in the value of the USD relative to the EUR would have increased our net assets by approximately $35 million. As of December 31, 2022, a uniform 10% strengthening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value of the USD relative to the GBP would have decreased our net assets by approximately $30 million. These theoretical calculations assume that an instantaneous, parallel shift in exchange rates occurs, which is not consistent with the history of foreign currency markets.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 10 Fair Value Measurements and Financial Instruments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76"/>
        </w:trPr>
        <w:tc>
          <w:tcPr>
            <w:tcW w:w="4020" w:type="dxa"/>
            <w:vAlign w:val="bottom"/>
            <w:tcBorders>
              <w:bottom w:val="single" w:sz="8" w:color="0000FF"/>
            </w:tcBorders>
            <w:gridSpan w:val="2"/>
          </w:tcPr>
          <w:p>
            <w:pPr>
              <w:spacing w:after="0" w:line="176" w:lineRule="exact"/>
              <w:rPr>
                <w:sz w:val="20"/>
                <w:szCs w:val="20"/>
                <w:color w:val="auto"/>
              </w:rPr>
            </w:pPr>
            <w:r>
              <w:rPr>
                <w:rFonts w:ascii="Arial" w:cs="Arial" w:eastAsia="Arial" w:hAnsi="Arial"/>
                <w:sz w:val="17"/>
                <w:szCs w:val="17"/>
                <w:color w:val="0000FF"/>
                <w:w w:val="92"/>
              </w:rPr>
              <w:t>Report of Independent Registered Public Accounting Firm</w:t>
            </w:r>
          </w:p>
        </w:tc>
        <w:tc>
          <w:tcPr>
            <w:tcW w:w="6280" w:type="dxa"/>
            <w:vAlign w:val="bottom"/>
            <w:gridSpan w:val="6"/>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7"/>
                <w:szCs w:val="17"/>
                <w:color w:val="auto"/>
                <w:w w:val="84"/>
              </w:rPr>
              <w:t>33</w:t>
            </w:r>
          </w:p>
        </w:tc>
      </w:tr>
      <w:tr>
        <w:trPr>
          <w:trHeight w:val="209"/>
        </w:trPr>
        <w:tc>
          <w:tcPr>
            <w:tcW w:w="10300" w:type="dxa"/>
            <w:vAlign w:val="bottom"/>
            <w:gridSpan w:val="8"/>
          </w:tcPr>
          <w:p>
            <w:pPr>
              <w:spacing w:after="0"/>
              <w:rPr>
                <w:sz w:val="20"/>
                <w:szCs w:val="20"/>
                <w:color w:val="auto"/>
              </w:rPr>
            </w:pPr>
            <w:r>
              <w:rPr>
                <w:rFonts w:ascii="Arial" w:cs="Arial" w:eastAsia="Arial" w:hAnsi="Arial"/>
                <w:sz w:val="17"/>
                <w:szCs w:val="17"/>
                <w:color w:val="0000FF"/>
              </w:rPr>
              <w:t>Consolidated Statements of Operations for the Years Ended December 31, 2022, 2021 and 2020</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36</w:t>
            </w:r>
          </w:p>
        </w:tc>
      </w:tr>
      <w:tr>
        <w:trPr>
          <w:trHeight w:val="20"/>
        </w:trPr>
        <w:tc>
          <w:tcPr>
            <w:tcW w:w="30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74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89"/>
              </w:rPr>
              <w:t>Consolidated Statements of Comprehensive Income for the Years Ended December 31, 2022, 2021 and 2020</w:t>
            </w:r>
          </w:p>
        </w:tc>
        <w:tc>
          <w:tcPr>
            <w:tcW w:w="28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37</w:t>
            </w:r>
          </w:p>
        </w:tc>
      </w:tr>
      <w:tr>
        <w:trPr>
          <w:trHeight w:val="209"/>
        </w:trPr>
        <w:tc>
          <w:tcPr>
            <w:tcW w:w="442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9"/>
              </w:rPr>
              <w:t>Consolidated Balance Sheets as of December 31, 2022 and 2021</w:t>
            </w:r>
          </w:p>
        </w:tc>
        <w:tc>
          <w:tcPr>
            <w:tcW w:w="5880" w:type="dxa"/>
            <w:vAlign w:val="bottom"/>
            <w:gridSpan w:val="5"/>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38</w:t>
            </w:r>
          </w:p>
        </w:tc>
      </w:tr>
      <w:tr>
        <w:trPr>
          <w:trHeight w:val="209"/>
        </w:trPr>
        <w:tc>
          <w:tcPr>
            <w:tcW w:w="662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89"/>
              </w:rPr>
              <w:t>Consolidated Statements of Cash Flows for the Years Ended December 31, 2022, 2021 and 2020</w:t>
            </w:r>
          </w:p>
        </w:tc>
        <w:tc>
          <w:tcPr>
            <w:tcW w:w="3680" w:type="dxa"/>
            <w:vAlign w:val="bottom"/>
            <w:gridSpan w:val="3"/>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39</w:t>
            </w:r>
          </w:p>
        </w:tc>
      </w:tr>
      <w:tr>
        <w:trPr>
          <w:trHeight w:val="210"/>
        </w:trPr>
        <w:tc>
          <w:tcPr>
            <w:tcW w:w="70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0"/>
              </w:rPr>
              <w:t>Consolidated Statements of Changes in Equity for the Years Ended December 31, 2022, 2021 and 2020</w:t>
            </w:r>
          </w:p>
        </w:tc>
        <w:tc>
          <w:tcPr>
            <w:tcW w:w="3220" w:type="dxa"/>
            <w:vAlign w:val="bottom"/>
            <w:gridSpan w:val="2"/>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40</w:t>
            </w:r>
          </w:p>
        </w:tc>
      </w:tr>
      <w:tr>
        <w:trPr>
          <w:trHeight w:val="210"/>
        </w:trPr>
        <w:tc>
          <w:tcPr>
            <w:tcW w:w="30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Notes to Consolidated Financial Statements</w:t>
            </w:r>
          </w:p>
        </w:tc>
        <w:tc>
          <w:tcPr>
            <w:tcW w:w="7300" w:type="dxa"/>
            <w:vAlign w:val="bottom"/>
            <w:gridSpan w:val="7"/>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GXO Logistics,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GXO Logistics, Inc. and subsidiaries (the Company) as of December 31, 2022 and 2021, the related consolidated statements of operations, comprehensive income, cash flows, and changes in equity for each of the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acquired Clipper Logistics plc during 2022, and management excluded from its assessment of the effectiveness of the Company’s internal control over financial reporting as of December 31, 2022, Clipper Logistics plc’s internal control over financial reporting associated with approximately 6% of total assets, excluding associated goodwill and intangible assets, and approximately 6% of total revenues included in the consolidated financial statements of the Company as of and for the year ended December 31, 2022. Our audit of internal control over financial reporting of the Company also excluded an evaluation of the internal control over financial reporting of Clipper Logistics plc.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color w:val="auto"/>
        </w:rPr>
        <w:t>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Acquisition-date fair value of a certain customer relationship intangible asset</w:t>
      </w:r>
    </w:p>
    <w:p>
      <w:pPr>
        <w:spacing w:after="0" w:line="104"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As discussed in Note 4 to the consolidated financial statements, on May 24, 2022, the Company acquired Clipper Logistics plc in a business combination for consideration of approximately $1,106 million. As a result of the transaction, the Company acquired customer relationship intangible assets associated with the generation of future income from the acquirees’ existing customers. The acquisition-date fair value of intangible assets recorded by the Company was $392 million, which included customer relationship intangible assets.</w:t>
      </w:r>
    </w:p>
    <w:p>
      <w:pPr>
        <w:spacing w:after="0" w:line="214"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We identified the evaluation of the acquisition-date fair value of a certain customer relationship intangible asset as a critical audit matter. There was a high degree of subjective auditor judgment in evaluating certain assumptions used to estimate the acquisition-date fair value of the customer relationship intangible asset. Specifically, there was limited observable market information for the forecasted revenue and customer attrition assumptions, and evaluation of the discount rate assumption required specialized skills and knowledge. Changes in these assumptions could have had a significant impact on the acquisition-date fair value of the intangible asset.</w:t>
      </w:r>
    </w:p>
    <w:p>
      <w:pPr>
        <w:spacing w:after="0" w:line="215"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of certain internal controls related to the Company’s process to estimate the acquisition-date fair value of the customer relationship intangible asset. This included controls over the determination of the forecasted revenue, customer attrition, and discount rate assumptions used in the Company’s model. We evaluated the Company’s forecasted revenue of the acquired company by comparing it to (1) past performance of the acquired company, (2) actual and forecasted revenue trends of the acquirees’ peers, and (3) analyst reports of the acquiree. We evaluated the Company’s customer attrition assumption by comparing it to historical attrition experienced by the acquired company. We involved valuation professionals with specialized skills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ind w:left="340"/>
        <w:spacing w:after="0" w:line="277" w:lineRule="auto"/>
        <w:rPr>
          <w:sz w:val="20"/>
          <w:szCs w:val="20"/>
          <w:color w:val="auto"/>
        </w:rPr>
      </w:pPr>
      <w:r>
        <w:rPr>
          <w:rFonts w:ascii="Arial" w:cs="Arial" w:eastAsia="Arial" w:hAnsi="Arial"/>
          <w:sz w:val="18"/>
          <w:szCs w:val="18"/>
          <w:color w:val="auto"/>
        </w:rPr>
        <w:t>knowledge, who assisted in evaluating the Company’s discount rate used by comparing it against a discount rate that was developed using publicly available market data for comparable entities.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21" w:right="6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Direct operating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5,169</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and integration costs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Restructuring costs and 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 per share data</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0"/>
        </w:trPr>
        <w:tc>
          <w:tcPr>
            <w:tcW w:w="6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117,616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115,597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114,626</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6"/>
        </w:trPr>
        <w:tc>
          <w:tcPr>
            <w:tcW w:w="636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Foreign currency translation gain (loss), net of tax of $(8), $(3) and $(3),</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w w:val="94"/>
              </w:rPr>
              <w:t>Unrealized gain on cash flow hedges, net of tax of $(2), $— and $—, respectively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75"/>
        </w:trPr>
        <w:tc>
          <w:tcPr>
            <w:tcW w:w="636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w w:val="97"/>
              </w:rPr>
              <w:t>Unrealized gain (loss) on defined benefit plans, net of tax of $13, $(2) and $—,</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GXO</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 of allowances of $12 and $13,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60"/>
              <w:spacing w:after="0"/>
              <w:rPr>
                <w:sz w:val="20"/>
                <w:szCs w:val="20"/>
                <w:color w:val="auto"/>
              </w:rPr>
            </w:pPr>
            <w:r>
              <w:rPr>
                <w:rFonts w:ascii="Arial" w:cs="Arial" w:eastAsia="Arial" w:hAnsi="Arial"/>
                <w:sz w:val="16"/>
                <w:szCs w:val="16"/>
                <w:color w:val="auto"/>
              </w:rPr>
              <w:t>Property and equipment, net of $1,297 and $1,128 in accumulated depreciation,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Intangible assets, net of $456 and $407 in accumulated amortization, respectively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long-term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2"/>
        </w:trPr>
        <w:tc>
          <w:tcPr>
            <w:tcW w:w="8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long-term assets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5,172</w:t>
            </w:r>
          </w:p>
        </w:tc>
        <w:tc>
          <w:tcPr>
            <w:tcW w:w="0" w:type="dxa"/>
            <w:vAlign w:val="bottom"/>
          </w:tcPr>
          <w:p>
            <w:pPr>
              <w:spacing w:after="0"/>
              <w:rPr>
                <w:sz w:val="1"/>
                <w:szCs w:val="1"/>
                <w:color w:val="auto"/>
              </w:rPr>
            </w:pPr>
          </w:p>
        </w:tc>
      </w:tr>
      <w:tr>
        <w:trPr>
          <w:trHeight w:val="207"/>
        </w:trPr>
        <w:tc>
          <w:tcPr>
            <w:tcW w:w="8020" w:type="dxa"/>
            <w:vAlign w:val="bottom"/>
            <w:gridSpan w:val="2"/>
          </w:tcPr>
          <w:p>
            <w:pPr>
              <w:ind w:left="76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Short-term borrowings and obligations under finance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Current operating lease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Long-term debt and obligations under finance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19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Commitments and Contingencies (Note 18)</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20" w:type="dxa"/>
            <w:vAlign w:val="bottom"/>
            <w:gridSpan w:val="2"/>
          </w:tcPr>
          <w:p>
            <w:pPr>
              <w:ind w:left="240"/>
              <w:spacing w:after="0" w:line="166" w:lineRule="exact"/>
              <w:rPr>
                <w:sz w:val="20"/>
                <w:szCs w:val="20"/>
                <w:color w:val="auto"/>
              </w:rPr>
            </w:pPr>
            <w:r>
              <w:rPr>
                <w:rFonts w:ascii="Arial" w:cs="Arial" w:eastAsia="Arial" w:hAnsi="Arial"/>
                <w:sz w:val="16"/>
                <w:szCs w:val="16"/>
                <w:color w:val="auto"/>
                <w:w w:val="97"/>
              </w:rPr>
              <w:t>Common Stock, $0.01 par value per share, 300,000 shares authorized, 118,728 and 114,659 shares issued and</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outstanding, as of December 31, 2022 and 2021, respectively</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6"/>
                <w:szCs w:val="16"/>
                <w:color w:val="auto"/>
                <w:w w:val="90"/>
              </w:rPr>
              <w:t>Preferred Stock, $0.01 par value per share, 10,000 shares authorized, 0 shares issued and outstanding, as of December</w:t>
            </w:r>
          </w:p>
        </w:tc>
        <w:tc>
          <w:tcPr>
            <w:tcW w:w="3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31, 2022 and 2021</w:t>
            </w:r>
          </w:p>
        </w:tc>
        <w:tc>
          <w:tcPr>
            <w:tcW w:w="3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06"/>
        </w:trPr>
        <w:tc>
          <w:tcPr>
            <w:tcW w:w="8020" w:type="dxa"/>
            <w:vAlign w:val="bottom"/>
            <w:gridSpan w:val="2"/>
          </w:tcPr>
          <w:p>
            <w:pPr>
              <w:ind w:left="760"/>
              <w:spacing w:after="0"/>
              <w:rPr>
                <w:sz w:val="20"/>
                <w:szCs w:val="20"/>
                <w:color w:val="auto"/>
              </w:rPr>
            </w:pPr>
            <w:r>
              <w:rPr>
                <w:rFonts w:ascii="Arial" w:cs="Arial" w:eastAsia="Arial" w:hAnsi="Arial"/>
                <w:sz w:val="16"/>
                <w:szCs w:val="16"/>
                <w:b w:val="1"/>
                <w:bCs w:val="1"/>
                <w:color w:val="auto"/>
              </w:rPr>
              <w:t>Total liabilities and equity</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c>
          <w:tcPr>
            <w:tcW w:w="0" w:type="dxa"/>
            <w:vAlign w:val="bottom"/>
          </w:tcPr>
          <w:p>
            <w:pPr>
              <w:spacing w:after="0"/>
              <w:rPr>
                <w:sz w:val="1"/>
                <w:szCs w:val="1"/>
                <w:color w:val="auto"/>
              </w:rPr>
            </w:pPr>
          </w:p>
        </w:tc>
      </w:tr>
      <w:tr>
        <w:trPr>
          <w:trHeight w:val="24"/>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3"/>
        </w:trPr>
        <w:tc>
          <w:tcPr>
            <w:tcW w:w="656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Deferred tax benefit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65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193"/>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Net proceeds from cross-currency swap agreements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and sale of affiliate trade receivables, net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193"/>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Proceeds from debt,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Repayments of debt and finance leases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Proceeds (repayments) related to trade securitization program</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noncontrolling interests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Net transfers (to) from XPO</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7"/>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and cash equivalents, end of year</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0"/>
        </w:trPr>
        <w:tc>
          <w:tcPr>
            <w:tcW w:w="6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paid for interest,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Cash paid for income taxes,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Common stock issued for acquisition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Settlement of related party debt due to the Separation</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3" w:name="page44"/>
    <w:bookmarkEnd w:id="43"/>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right"/>
              <w:ind w:right="23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0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Equity Before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w:t>
            </w: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XPO, Inc.</w:t>
            </w: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4"/>
                <w:szCs w:val="4"/>
                <w:color w:val="auto"/>
              </w:rPr>
            </w:pPr>
          </w:p>
        </w:tc>
        <w:tc>
          <w:tcPr>
            <w:tcW w:w="94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rPr>
              <w:t>Other</w:t>
            </w:r>
          </w:p>
        </w:tc>
        <w:tc>
          <w:tcPr>
            <w:tcW w:w="10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12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gridSpan w:val="2"/>
            <w:vMerge w:val="continue"/>
          </w:tcPr>
          <w:p>
            <w:pPr>
              <w:spacing w:after="0"/>
              <w:rPr>
                <w:sz w:val="12"/>
                <w:szCs w:val="12"/>
                <w:color w:val="auto"/>
              </w:rPr>
            </w:pPr>
          </w:p>
        </w:tc>
        <w:tc>
          <w:tcPr>
            <w:tcW w:w="9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Noncontrolling</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2"/>
                <w:szCs w:val="12"/>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Total Equity</w:t>
            </w:r>
          </w:p>
        </w:tc>
        <w:tc>
          <w:tcPr>
            <w:tcW w:w="0" w:type="dxa"/>
            <w:vAlign w:val="bottom"/>
          </w:tcPr>
          <w:p>
            <w:pPr>
              <w:spacing w:after="0"/>
              <w:rPr>
                <w:sz w:val="1"/>
                <w:szCs w:val="1"/>
                <w:color w:val="auto"/>
              </w:rPr>
            </w:pPr>
          </w:p>
        </w:tc>
      </w:tr>
      <w:tr>
        <w:trPr>
          <w:trHeight w:val="176"/>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millions)</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9"/>
              </w:rPr>
              <w:t>Investment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w w:val="99"/>
              </w:rPr>
              <w:t>Interests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4"/>
              </w:rPr>
              <w:t>Balance as of December 31,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Net income (loss)</w:t>
            </w:r>
          </w:p>
        </w:tc>
        <w:tc>
          <w:tcPr>
            <w:tcW w:w="98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20" w:type="dxa"/>
            <w:vAlign w:val="bottom"/>
            <w:tcBorders>
              <w:top w:val="single" w:sz="8" w:color="CCEEFF"/>
            </w:tcBorders>
            <w:gridSpan w:val="2"/>
            <w:vMerge w:val="continue"/>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w w:val="93"/>
              </w:rPr>
              <w:t>Purchase of noncontrolling interests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transfers from (to) XPO</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3"/>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Balance as of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212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Vesting of stock compensation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awards</w:t>
            </w:r>
          </w:p>
        </w:tc>
        <w:tc>
          <w:tcPr>
            <w:tcW w:w="9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1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Tax withholding related to vesting</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 stock compensation awards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w w:val="93"/>
              </w:rPr>
              <w:t>Purchase of noncontrolling interests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5"/>
        </w:trPr>
        <w:tc>
          <w:tcPr>
            <w:tcW w:w="21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transfers from (to) XPO,</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including separation adjustments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48"/>
        </w:trPr>
        <w:tc>
          <w:tcPr>
            <w:tcW w:w="212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Issuance of common stock and</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w w:val="97"/>
              </w:rPr>
              <w:t>reclassification of XPO investment</w:t>
            </w:r>
          </w:p>
        </w:tc>
        <w:tc>
          <w:tcPr>
            <w:tcW w:w="900" w:type="dxa"/>
            <w:vAlign w:val="bottom"/>
          </w:tcPr>
          <w:p>
            <w:pPr>
              <w:jc w:val="right"/>
              <w:spacing w:after="0"/>
              <w:rPr>
                <w:sz w:val="20"/>
                <w:szCs w:val="20"/>
                <w:color w:val="auto"/>
              </w:rPr>
            </w:pPr>
            <w:r>
              <w:rPr>
                <w:rFonts w:ascii="Arial" w:cs="Arial" w:eastAsia="Arial" w:hAnsi="Arial"/>
                <w:sz w:val="14"/>
                <w:szCs w:val="14"/>
                <w:color w:val="auto"/>
              </w:rPr>
              <w:t>114,626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Balance as of December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114,659</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2,390</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212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Vesting of stock compensation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awards</w:t>
            </w:r>
          </w:p>
        </w:tc>
        <w:tc>
          <w:tcPr>
            <w:tcW w:w="900" w:type="dxa"/>
            <w:vAlign w:val="bottom"/>
          </w:tcPr>
          <w:p>
            <w:pPr>
              <w:jc w:val="right"/>
              <w:spacing w:after="0"/>
              <w:rPr>
                <w:sz w:val="20"/>
                <w:szCs w:val="20"/>
                <w:color w:val="auto"/>
              </w:rPr>
            </w:pPr>
            <w:r>
              <w:rPr>
                <w:rFonts w:ascii="Arial" w:cs="Arial" w:eastAsia="Arial" w:hAnsi="Arial"/>
                <w:sz w:val="14"/>
                <w:szCs w:val="14"/>
                <w:color w:val="auto"/>
              </w:rPr>
              <w:t>557</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1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w w:val="95"/>
              </w:rPr>
              <w:t>Tax withholding on vesting of stock</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compensation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212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Common stock issued for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acquisition</w:t>
            </w:r>
          </w:p>
        </w:tc>
        <w:tc>
          <w:tcPr>
            <w:tcW w:w="900" w:type="dxa"/>
            <w:vAlign w:val="bottom"/>
          </w:tcPr>
          <w:p>
            <w:pPr>
              <w:jc w:val="right"/>
              <w:spacing w:after="0"/>
              <w:rPr>
                <w:sz w:val="20"/>
                <w:szCs w:val="20"/>
                <w:color w:val="auto"/>
              </w:rPr>
            </w:pPr>
            <w:r>
              <w:rPr>
                <w:rFonts w:ascii="Arial" w:cs="Arial" w:eastAsia="Arial" w:hAnsi="Arial"/>
                <w:sz w:val="14"/>
                <w:szCs w:val="14"/>
                <w:color w:val="auto"/>
              </w:rPr>
              <w:t>3,758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9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Balance as of December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118,728</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5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GXO Logistics, Inc., together with its subsidiaries (“GXO” or the “Company”), is the largest pure-play contract logistics provider in the world and the foremost innovator in the logistics industry. The Company provides its customers with high-value-add warehousing and distribution, order fulfillment, e-commerce, reverse logistics and other supply chain services differentiated by its ability to deliver technology-enabled, customized solutions at scale. The Company serves a broad range of customers across a range of industries, such as e-commerce, omnichannel retail, technology and consumer electronics, food and beverage, industrial and manufacturing, and consumer packaged goods, among others. The Company presents its operations in the consolidated financial statements as one reportable segment.</w:t>
      </w:r>
    </w:p>
    <w:p>
      <w:pPr>
        <w:spacing w:after="0" w:line="2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August 2, 2021, the Company completed the separation (the “Separation”) from XPO, Inc. (“XPO”). The Separation was accomplished by the distribution of 100 % of the outstanding common stock of GXO to XPO stockholders as of the close of business on July 23, 2021, the record date for the distribution. XPO stockholders received one share of GXO common stock for every share of XPO common stock held at the close of business on the record date. On August 2, 2021, GXO became a standalone publicly-traded company and regular-way trading of GXO’s common stock commenced on the New York Stock Exchange under the ticker symbol “GXO.” GXO was incorporated as a Delaware corporation in February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the Separation, the Company’s financial statements were prepared on a standalone combined basis and were derived from the consolidated financial statements and accounting records of XPO (the “historical financial statements”). On August 2, 2021, the Company became a standalone publicly traded company, and its financial statements post-Separation are prepared on a consolidated basis. The combined consolidated financial statements for all periods presented prior to the Separation are now also referred to as “Consolidated Financial Statements” and have been prepared under the U.S. generally accepted accounting principles (“GAAP”).</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adjusted earnings before interest, taxes, depreciation and amortization, which includes adjustments for transaction and integration costs, as well as restructuring costs and other adjustments, or headcount. The majority of these allocated costs are recorded within Selling, general and administrative expense; Depreciation and amortization expense; and Transaction and integration costs in the Consolidated Statements of Operations.</w:t>
      </w:r>
    </w:p>
    <w:p>
      <w:pPr>
        <w:spacing w:after="0" w:line="19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judgments and assumptions that affect the reported amounts in the consolidated financial statements and accompanying notes. The Company bases its estimates and judgments on historical information and on various other assumptions that it believes are reasonable under the circumstances. GAAP requires the Company to make estimates and judgments in several areas, including, but not limited to, those related to revenue recognition, income taxes, loss contingencies, valuation of long-lived assets including goodwill and intangible assets and their associated estimated useful lives, collectability of accounts receivable and the fair value of financial instruments. Actual results may vary from those estimates.</w:t>
      </w:r>
    </w:p>
    <w:p>
      <w:pPr>
        <w:spacing w:after="0" w:line="21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COVID-19 pandemic and Russia’s invasion of Ukraine has created and may continue to create significant uncertainty in macroeconomic conditions, which may cause further business slowdowns or shutdowns, depress demand for the logistics business, and adversely impact the Company’s estimates, particularly those that require consideration of forecasted financial information. The business and economic uncertainty resulting from the COVID-19 pandemic and Russia’s invasion of Ukraine has made calculating estimates and assumptions more difficult.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on the date of purchase to be cash equivalents. Bank overdraft positions occur when total outstanding issued checks exceed available cash balances at a single financial institution.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Accounts receivable represents the Company’s unconditional right to receive consideration from its customers. The Company records accounts receivable at the contractual amount and records an allowance for doubtful accounts for the amount it estimates it may not collect. In determining the allowance for doubtful accounts, the Company considers historical collection experience, the age of the accounts receivable balances, the credit quality and risk of its customers, any specific customer collection issues, current economic conditions and other factors that may impact its customers’ ability to pay. The Company writes off accounts receivable balances once the receivables are no longer deemed collectible.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the allowance for doubtful accounts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Provisions charged to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Property and equipment, which includes assets recorded under finance leases, are stated at cost less accumulated depreciation or, in the case of acquired property and equipment, at fair value at the date of acquisition. Maintenance and repair expenditures are charged to expenses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ind w:right="120"/>
        <w:spacing w:after="0" w:line="263" w:lineRule="auto"/>
        <w:rPr>
          <w:sz w:val="20"/>
          <w:szCs w:val="20"/>
          <w:color w:val="auto"/>
        </w:rPr>
      </w:pPr>
      <w:r>
        <w:rPr>
          <w:rFonts w:ascii="Arial" w:cs="Arial" w:eastAsia="Arial" w:hAnsi="Arial"/>
          <w:sz w:val="18"/>
          <w:szCs w:val="18"/>
          <w:color w:val="auto"/>
        </w:rPr>
        <w:t>For computer software developed, all costs incurred during the planning and evaluation stages are expensed as incurred. Software development costs are capitalized once the preliminary project stage is complete and it is probable that the project will be completed and the software will be used to perform the function intended.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or the remaining lease term, whichever is shorter. Land and assets held within construction in progress are not depreciated.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of property and equipment are described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CCEEFF"/>
          </w:tcPr>
          <w:p>
            <w:pPr>
              <w:spacing w:after="0"/>
              <w:rPr>
                <w:sz w:val="19"/>
                <w:szCs w:val="19"/>
                <w:color w:val="auto"/>
              </w:rPr>
            </w:pPr>
          </w:p>
        </w:tc>
        <w:tc>
          <w:tcPr>
            <w:tcW w:w="4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 years</w:t>
            </w:r>
          </w:p>
        </w:tc>
      </w:tr>
      <w:tr>
        <w:trPr>
          <w:trHeight w:val="229"/>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4740" w:type="dxa"/>
            <w:vAlign w:val="bottom"/>
          </w:tcPr>
          <w:p>
            <w:pPr>
              <w:jc w:val="center"/>
              <w:spacing w:after="0"/>
              <w:rPr>
                <w:sz w:val="20"/>
                <w:szCs w:val="20"/>
                <w:color w:val="auto"/>
              </w:rPr>
            </w:pPr>
            <w:r>
              <w:rPr>
                <w:rFonts w:ascii="Arial" w:cs="Arial" w:eastAsia="Arial" w:hAnsi="Arial"/>
                <w:sz w:val="18"/>
                <w:szCs w:val="18"/>
                <w:color w:val="auto"/>
                <w:w w:val="91"/>
              </w:rPr>
              <w:t>Shorter of useful life or term of lease</w:t>
            </w:r>
          </w:p>
        </w:tc>
      </w:tr>
      <w:tr>
        <w:trPr>
          <w:trHeight w:val="243"/>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automated systems</w:t>
            </w:r>
          </w:p>
        </w:tc>
        <w:tc>
          <w:tcPr>
            <w:tcW w:w="4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15 years</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Warehouse equipment and other</w:t>
            </w:r>
          </w:p>
        </w:tc>
        <w:tc>
          <w:tcPr>
            <w:tcW w:w="4740" w:type="dxa"/>
            <w:vAlign w:val="bottom"/>
          </w:tcPr>
          <w:p>
            <w:pPr>
              <w:jc w:val="center"/>
              <w:spacing w:after="0"/>
              <w:rPr>
                <w:sz w:val="20"/>
                <w:szCs w:val="20"/>
                <w:color w:val="auto"/>
              </w:rPr>
            </w:pPr>
            <w:r>
              <w:rPr>
                <w:rFonts w:ascii="Arial" w:cs="Arial" w:eastAsia="Arial" w:hAnsi="Arial"/>
                <w:sz w:val="18"/>
                <w:szCs w:val="18"/>
                <w:color w:val="auto"/>
                <w:w w:val="90"/>
              </w:rPr>
              <w:t>3 to 15 years</w:t>
            </w:r>
          </w:p>
        </w:tc>
      </w:tr>
      <w:tr>
        <w:trPr>
          <w:trHeight w:val="249"/>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4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5 years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has operating leases primarily for real estate, warehouse equipment, material handling equipment, trucks, trailers, and containers and finance leases for equipment. The Company determines if an arrangement is a lease at inception. For leases with terms greater than 12 months, the Company recognizes lease assets and liabilities at the lease commencement date based on the present value of the lease payments over the lease term.</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For most of the Company’s leases, the implicit rate cannot be readily determined and, as a result, the Company uses the incremental borrowing rates at commencement date to determine the present value of future lease payments. For leases that include fixed rental payments for both the use of the asset (“lease costs”) as well as for other occupancy or service costs relating to the asset (“non-lease costs”), the Company generally includes both the lease costs and non-lease costs as a single lease component in the measurement of the lease asset and liability. The Company excludes variable lease payments (such as payments based on an index) from its initial measurement of the lease liability.</w:t>
      </w:r>
    </w:p>
    <w:p>
      <w:pPr>
        <w:spacing w:after="0" w:line="2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Lease agreements may contain rent escalation clauses, renewal or termination options, rent holidays or certain landlord incentives, including tenant improvement allowances. Amounts received from a landlord are included as a reduction to the lease asset and are included within operating activities on the Consolidated Statement of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comprised of three operating segments based on the operating results regularly reviewed by the chief operating decision-maker (“CODM”) to make decisions about resource allocation and the performance of the business. These three operating segments have been aggregated into a single reporting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records goodwill as the excess of the consideration transferred over the fair value of net assets acquired in business combinations. Goodwill is tested for impairment at the reporting unit level, which is an operating segment, or one level below. The Company has three reporting units: i) Americas and Asia-Pacific; ii) United Kingdom and Ireland and iii) Continental Europe. The Company measures goodwill impairment, if any, as the amount by which the carrying amount of the reporting unit exceeds its fair value, not to exceed the carrying amount of goodwill.</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 change in our operating segments and reporting units, we elected to change our annual goodwill impairment test date from August 31 to November 1 to align with the Company’s budgeting process. We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ind w:right="260"/>
        <w:spacing w:after="0" w:line="277" w:lineRule="auto"/>
        <w:rPr>
          <w:sz w:val="20"/>
          <w:szCs w:val="20"/>
          <w:color w:val="auto"/>
        </w:rPr>
      </w:pPr>
      <w:r>
        <w:rPr>
          <w:rFonts w:ascii="Arial" w:cs="Arial" w:eastAsia="Arial" w:hAnsi="Arial"/>
          <w:sz w:val="18"/>
          <w:szCs w:val="18"/>
          <w:color w:val="auto"/>
        </w:rPr>
        <w:t>an annual goodwill impairment test on August 31, 2022 and on November 1, 2022. For changes in reporting units, we reassign goodwill using a relative fair value allocation approach.</w:t>
      </w:r>
    </w:p>
    <w:p>
      <w:pPr>
        <w:spacing w:after="0" w:line="19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and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which are based on discounted cash flows. The determination of discounted cash flows of the reporting units and assets and liabilities within the reporting units requires significant estimates and assumptions. Due to the inherent uncertainty involved in making these estimates, actual results could differ from those estimates.</w:t>
      </w:r>
    </w:p>
    <w:p>
      <w:pPr>
        <w:spacing w:after="0" w:line="19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Company’s intangible assets consist of customer relationships and trade names which are amortized on a straight-line basis or over their respective useful life using patterns that reflect the economic benefits of the assets are expected to be realized. The Company reviews its intangible assets for impairment whenever events or changes in circumstances indicate that the carrying amount of the assets may not be recoverable.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 exceeds the fair value of the asset. The Company estimates fair value using the expected future cash flows discounted at a rate consistent with the risks associated with the recovery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25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participates in a combination of self-insurance programs and purchased insurance to provide for the costs of medical, casualty, property, general liability, vehicular, cargo, cyber-attacks and workers’ compensation claims. The Company estimates insurance liabilities using several factors, primarily based on independent third-party actuary determined amounts, historical claims experience, estimates of incurred but not reported claims, demographic and severity factors.</w:t>
      </w:r>
    </w:p>
    <w:p>
      <w:pPr>
        <w:spacing w:after="0" w:line="21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Liabilities for the risks the Company retains,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generates revenue by providing supply chain services for its customers, including warehousing and distribution, order fulfillment, reverse logistics, packaging and labeling, factory and aftermarket support, and inventory management ranging from a few months to a few years. Generally, the Company’s contracts provide the customer an integrated service that includes two or more services, including but not limited to facility and equipment costs, construction, repair and maintenance services and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8" w:name="page49"/>
    <w:bookmarkEnd w:id="48"/>
    <w:p>
      <w:pPr>
        <w:ind w:right="60"/>
        <w:spacing w:after="0" w:line="301" w:lineRule="auto"/>
        <w:rPr>
          <w:sz w:val="20"/>
          <w:szCs w:val="20"/>
          <w:color w:val="auto"/>
        </w:rPr>
      </w:pPr>
      <w:r>
        <w:rPr>
          <w:rFonts w:ascii="Arial" w:cs="Arial" w:eastAsia="Arial" w:hAnsi="Arial"/>
          <w:sz w:val="16"/>
          <w:szCs w:val="16"/>
          <w:color w:val="auto"/>
        </w:rPr>
        <w:t>For these contracts, the Company does not consider the services to be distinct within the context of the contract when the separate scopes of work combine into a single commercial objective or capability for the customer. Accordingly, the Company generally identifies one performance obligation in its contracts, which is a series of distinct services that remain substantially the same over time and possess the same pattern of transfer. Revenue is recognized using the series guidance over the period in which services are provided under the terms of the Company’s contractual relationships with its customers.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transaction price is based on the amount specified in the contract with the customer and contains fixed and variable consideration. In general, the fixed consideration in a contract represents reimbursement for facility, technology and equipment costs incurred to satisfy the performance obligation and is recognized on a straight-line basis over the term of the contract. The variable consideration is comprised of cost reimbursement based on the costs incurred, per-unit pricing is determined based on units provided, and time and materials pricing is based on the hours of services provided. The variable consideration component is recognized over time based on the level of activity.</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pricing can be adjusted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Contract assets consist of two components, customer acquisition costs and costs to fulfill a contract. The Company capitalizes direct and incremental costs incurred to obtain and to fulfill a contract in advance of revenue recognition, such as certain labor, third-party service and related product costs. These costs are recognized as an asset if the Company expects to recover them. Contract fulfillment costs are recognized consistent with the transfer of the underlying performance obligations to the customer based on the specific contracts to which they relate. Contract assets are primarily amortized to Direct operating expense in the Consolidated Statements of Operations over the contract term.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3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Contract liabilities, which are recorded within Other current liabilities and Other long-term liabilities on the Consolidated Balance Sheets, represent the Company’s obligation to transfer services to a customer for which the Company has received consideration or the amount is due from the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records all its derivative financial instruments on the Consolidated Balance Sheets as assets or liabilities measured at fair value. For derivatives designated as a hedge, and effective as part of a hedge transaction, the effective portion of the gain or loss on the hedging derivative instrument is reported as a component of other comprehensive income or as a basis adjustment to the underlying hedged item and reclassified to earnings in the year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us to increased earnings volatility.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Company accounts for stock-based compensation based on the equity instrument’s grant date fair value. Stock compensation expense is recognized using the straight-line method, based on the grant date fair value, over the requisite service period of the award, which is generally the vesting term. For grants of restricted stock units (“RSUs”) subject to service-based or performance-based vesting conditions only, the Company establishes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9" w:name="page50"/>
    <w:bookmarkEnd w:id="49"/>
    <w:p>
      <w:pPr>
        <w:ind w:right="80"/>
        <w:spacing w:after="0" w:line="263" w:lineRule="auto"/>
        <w:rPr>
          <w:sz w:val="20"/>
          <w:szCs w:val="20"/>
          <w:color w:val="auto"/>
        </w:rPr>
      </w:pPr>
      <w:r>
        <w:rPr>
          <w:rFonts w:ascii="Arial" w:cs="Arial" w:eastAsia="Arial" w:hAnsi="Arial"/>
          <w:sz w:val="18"/>
          <w:szCs w:val="18"/>
          <w:color w:val="auto"/>
        </w:rPr>
        <w:t>value based on the market price on the date of the grant. For grants of RSUs subject to market-based vesting conditions (“PRSUs”) and stock options, the Company determines the fair value based on its stock price and a number of assumptions, including expected volatility, expected life, risk-free interest rate and expected dividends. The Company accounts for forfeitures as they occur.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calculates its employer-sponsored retirement plan obligations using various actuarial assumptions and methodologies. Assumptions include discount rates, expected long-term rate of return on plan assets, mortality rates and other factors. The assumptions used in recording the projected benefit obligation and fair value of plan assets represent the Company’s best estimates based on available information regarding historical experience and factors that may cause future expectations to differ. The Company’s obligation and future expense amounts could be materially impacted by differences in experience or changes in assumptions.</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impact of plan amendments, actuarial gains and losses and prior-service costs are recorded in Accumulated other comprehensive income (loss) (“AOCI”) and are generally amortized as a component of net periodic benefit cost over the remaining service period of the active employees covered by the defined benefit pension plans. Cumulative gains and losses over 10% of the greater of the beginning of year benefit obligation or fair value of the plan assets are amortized over the expected average life expectancy.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Company accounts for income taxes using the asset and liability method on a legal entity and jurisdictional basis, under which the Company recognizes the amount of taxes payable or refundable for the current year and deferred tax assets and liabilities for the future tax consequences of events that have been recognized in the consolidated financial statements or tax returns. The calculation of the annual effective tax rate relies on several factors including pre-tax earnings, various jurisdiction statutory tax rates, tax credits, uncertain tax positions, valuation allowances and differences between tax laws and accounting laws. The effective tax rate in any financial statement period may be materially impacted by changes in the blend and/or level of earnings by individual taxing jurisdictions.</w:t>
      </w:r>
    </w:p>
    <w:p>
      <w:pPr>
        <w:spacing w:after="0" w:line="206"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If the Company considers that a tax position is more likely than not to be sustained upon audit, based solely on the technical merits of the position, presuming an examination by a taxing authority with full knowledge of all relevant information, the Company recognizes all or a portion of the benefit. Valuation allowances are established when it is more likely than not that the Company’s deferred tax assets will not be realized based on all available evidence.</w:t>
      </w:r>
    </w:p>
    <w:p>
      <w:pPr>
        <w:spacing w:after="0" w:line="21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Company uses judgments and estimates in evaluating its tax positions. The Company’s tax returns are subject to examination by U.S. Federal, state and local, foreign taxing jurisdictions. The Company regularly assesses the potential outcomes of these examinations and any future examinations for the current or prior years. The Company recognizes tax benefits from uncertain tax positions only if based on the technical merits of the position it is more likely than not that the tax positions will be sustained upon audit. The Company adjusts these tax liabilities, including related interest and penalties, based on the current facts and circumstances. The Company reports tax-related interest and penalties as a component of income tax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assets and liabilities of the Company’s foreign subsidiaries that use their local currency as their functional currency are translated to U.S. dollars (“USD”) using the exchange rate prevailing at each balance sheet date, with balance sheet currency translation adjustments recorded in AOCI in the Consolidated Balance Sheets. The Company converts foreign currency transactions recognized in the Consolidated Statements of Operations to USD by applying the exchange rate prevailing on the date of the transaction. Gains and losses arising from foreign currency transactions and the effects of remeasuring monetary assets and liabilities are recorded in Other income, net in the Consolidated Statements of Operations and were not material for any of the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The ASU clarifies that an acquirer of a business should recognize and measure contract assets and contract liabilities in a business combination in accordance with Accounting Standards Codification Topic 606, Revenue from Contracts with Customers. On January 1, 2022, the Company adopted the guidance. The adoption of this new standard did not have a material impact on the Company’s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In January 2021, the FASB issued ASU No. 2021-01, “Reference Rate Reform (Topic 848): Scope” to expand the scope of this guidance to include derivatives. In December 2022, the FASB issued ASU 2022-06, “Reference rate reform (Topic 848): Deferral of the sunset date of Topic 848” which defers the expiration date for Topic 848 from December 31, 2022 until December 31, 2024. The Company intends to apply this guidance when modifications of contracts that include LIBOR occur, which is not expected to have a material impact on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geographical area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Spain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Italy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revenue can also be disaggregated by various verticals, reflecting the customers’ principal industry. Revenue disaggregated by industry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Omnichannel retail</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Technology and consumer electronics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Industrial and manufacturing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packaged goods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4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r>
    </w:tbl>
    <w:p>
      <w:pPr>
        <w:spacing w:after="0" w:line="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Contract assets are included in Other current assets and Other long-term assets in the Consolidated Balance Sheets.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Contract liabilities are included in Other current liabilities and Other long-term liabilities in the Consolidated Balance Sheets.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Revenue recognized included the following:</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w w:val="97"/>
              </w:rPr>
              <w:t>Year Ended December 31,</w:t>
            </w:r>
          </w:p>
        </w:tc>
        <w:tc>
          <w:tcPr>
            <w:tcW w:w="4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ind w:left="60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Amounts included in the beginning of year contract liability balance</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remaining performance obligations relate to firm customer contracts for which services have not been performed and future revenue recognition is expected. As permitted in determining the remaining performance obligation, the Company omits obligations that have original expected durations of one year or less or contain variable consideration.</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2022, the fixed consideration component of the Company’s remaining performance obligations was approximately $3.1 billion, and the Company expects to recognize approximately 75% of that amount over the next three years and the remainder thereafter. The Company estimates remaining performance obligations at a point in time and actual amounts may differ from these estimates due to changes in foreign currency exchange rates and contract revisions or terminations.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Clipper Acquisition</w:t>
      </w:r>
    </w:p>
    <w:p>
      <w:pPr>
        <w:spacing w:after="0" w:line="25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May 24, 2022, the Company completed the acquisition of Clipper Logistics plc (“Clipper”), an omnichannel retail logistics specialist based in Leeds, England (the “Clipper Acquisition”). The Company acquired Clipper for $1,106 million, consisting of $902 million in cash and the issuance of 3,757,657 shares of GXO common stock having a value of $204 million. The Clipper Acquisition was subject to review by the CMA. On October 4, 2022, the CMA approved the Clipper Acquisition.</w:t>
      </w: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incurred acquisition and integration costs related to the Clipper Acquisition of $46 million for the year ended December 31, 2022. These costs are included within Transaction and integration costs in the Consolidated Statements of Operations.</w:t>
      </w:r>
    </w:p>
    <w:p>
      <w:pPr>
        <w:spacing w:after="0" w:line="19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connection with the Clipper Acquisition, (i) the Company and Clipper entered into a Cooperation Agreement; (ii) the Company entered into a Delayed Draw Term Loan; (iii) the Company entered into a Five-Year Term Loan; and (iv) the Company terminated its Bridge Term Loan. For additional information regarding the financing agreements entered into in connection with the Clipper Acquisition, see Note 9. Debt and Financing Arrangements.</w:t>
      </w:r>
    </w:p>
    <w:p>
      <w:pPr>
        <w:spacing w:after="0" w:line="1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included Clipper’s results of operations from the date of acquisition. For the year ended December 31, 2022, the Company recorded $569 million and $4 million of revenue and income before income taxes, respectively.</w:t>
      </w:r>
    </w:p>
    <w:p>
      <w:pPr>
        <w:spacing w:after="0" w:line="1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accounted for the Clipper Acquisition as a business combination using the acquisition method of accounting. The fair value of assets acquired and liabilities assumed was based on management’s estimate of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values of the assets acquired and liabilities assumed using valuation techniques including income, cost and market approaches.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 of identifiable assets acquired and liabilities assumed at the acquisition date:</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current assets</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Total current assets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 lease assets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71151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Other long-term assets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Total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Total assets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Accrued expenses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borrowings and obligations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operating lease liabilities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current liabilities</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Long-term debt and obligations under finance leases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22" w:hanging="1322"/>
        <w:spacing w:after="0"/>
        <w:tabs>
          <w:tab w:leader="none" w:pos="1322" w:val="left"/>
        </w:tabs>
        <w:numPr>
          <w:ilvl w:val="0"/>
          <w:numId w:val="10"/>
        </w:numPr>
        <w:rPr>
          <w:rFonts w:ascii="Arial" w:cs="Arial" w:eastAsia="Arial" w:hAnsi="Arial"/>
          <w:sz w:val="14"/>
          <w:szCs w:val="14"/>
          <w:color w:val="auto"/>
        </w:rPr>
      </w:pPr>
      <w:r>
        <w:rPr>
          <w:rFonts w:ascii="Arial" w:cs="Arial" w:eastAsia="Arial" w:hAnsi="Arial"/>
          <w:sz w:val="14"/>
          <w:szCs w:val="14"/>
          <w:color w:val="auto"/>
        </w:rPr>
        <w:t>26</w:t>
      </w:r>
    </w:p>
    <w:p>
      <w:pPr>
        <w:spacing w:after="0" w:line="55" w:lineRule="exact"/>
        <w:rPr>
          <w:rFonts w:ascii="Arial" w:cs="Arial" w:eastAsia="Arial" w:hAnsi="Arial"/>
          <w:sz w:val="14"/>
          <w:szCs w:val="14"/>
          <w:color w:val="auto"/>
        </w:rPr>
      </w:pPr>
    </w:p>
    <w:p>
      <w:pPr>
        <w:ind w:left="1242"/>
        <w:spacing w:after="0"/>
        <w:rPr>
          <w:rFonts w:ascii="Arial" w:cs="Arial" w:eastAsia="Arial" w:hAnsi="Arial"/>
          <w:sz w:val="14"/>
          <w:szCs w:val="14"/>
          <w:color w:val="auto"/>
        </w:rPr>
      </w:pPr>
      <w:r>
        <w:rPr>
          <w:rFonts w:ascii="Arial" w:cs="Arial" w:eastAsia="Arial" w:hAnsi="Arial"/>
          <w:sz w:val="14"/>
          <w:szCs w:val="14"/>
          <w:color w:val="auto"/>
        </w:rPr>
        <w:t>146</w:t>
      </w:r>
    </w:p>
    <w:p>
      <w:pPr>
        <w:spacing w:after="0" w:line="55" w:lineRule="exact"/>
        <w:rPr>
          <w:rFonts w:ascii="Arial" w:cs="Arial" w:eastAsia="Arial" w:hAnsi="Arial"/>
          <w:sz w:val="14"/>
          <w:szCs w:val="14"/>
          <w:color w:val="auto"/>
        </w:rPr>
      </w:pPr>
    </w:p>
    <w:p>
      <w:pPr>
        <w:ind w:left="1322"/>
        <w:spacing w:after="0"/>
        <w:rPr>
          <w:rFonts w:ascii="Arial" w:cs="Arial" w:eastAsia="Arial" w:hAnsi="Arial"/>
          <w:sz w:val="14"/>
          <w:szCs w:val="14"/>
          <w:color w:val="auto"/>
        </w:rPr>
      </w:pPr>
      <w:r>
        <w:rPr>
          <w:rFonts w:ascii="Arial" w:cs="Arial" w:eastAsia="Arial" w:hAnsi="Arial"/>
          <w:sz w:val="14"/>
          <w:szCs w:val="14"/>
          <w:color w:val="auto"/>
        </w:rPr>
        <w:t>67</w:t>
      </w:r>
    </w:p>
    <w:p>
      <w:pPr>
        <w:spacing w:after="0" w:line="68" w:lineRule="exact"/>
        <w:rPr>
          <w:rFonts w:ascii="Arial" w:cs="Arial" w:eastAsia="Arial" w:hAnsi="Arial"/>
          <w:sz w:val="14"/>
          <w:szCs w:val="14"/>
          <w:color w:val="auto"/>
        </w:rPr>
      </w:pPr>
    </w:p>
    <w:p>
      <w:pPr>
        <w:ind w:left="1242"/>
        <w:spacing w:after="0"/>
        <w:rPr>
          <w:rFonts w:ascii="Arial" w:cs="Arial" w:eastAsia="Arial" w:hAnsi="Arial"/>
          <w:sz w:val="14"/>
          <w:szCs w:val="14"/>
          <w:color w:val="auto"/>
        </w:rPr>
      </w:pPr>
      <w:r>
        <w:rPr>
          <w:rFonts w:ascii="Arial" w:cs="Arial" w:eastAsia="Arial" w:hAnsi="Arial"/>
          <w:sz w:val="14"/>
          <w:szCs w:val="14"/>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-112395</wp:posOffset>
            </wp:positionV>
            <wp:extent cx="9944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233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392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94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720</w:t>
      </w:r>
    </w:p>
    <w:p>
      <w:pPr>
        <w:spacing w:after="0" w:line="46" w:lineRule="exact"/>
        <w:rPr>
          <w:sz w:val="20"/>
          <w:szCs w:val="20"/>
          <w:color w:val="auto"/>
        </w:rPr>
      </w:pPr>
    </w:p>
    <w:p>
      <w:pPr>
        <w:ind w:left="1242" w:hanging="1242"/>
        <w:spacing w:after="0"/>
        <w:tabs>
          <w:tab w:leader="none" w:pos="1242" w:val="left"/>
        </w:tabs>
        <w:numPr>
          <w:ilvl w:val="0"/>
          <w:numId w:val="11"/>
        </w:numPr>
        <w:rPr>
          <w:rFonts w:ascii="Arial" w:cs="Arial" w:eastAsia="Arial" w:hAnsi="Arial"/>
          <w:sz w:val="14"/>
          <w:szCs w:val="14"/>
          <w:color w:val="auto"/>
        </w:rPr>
      </w:pPr>
      <w:r>
        <w:rPr>
          <w:rFonts w:ascii="Arial" w:cs="Arial" w:eastAsia="Arial" w:hAnsi="Arial"/>
          <w:sz w:val="14"/>
          <w:szCs w:val="14"/>
          <w:color w:val="auto"/>
        </w:rPr>
        <w:t>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9944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322" w:hanging="1322"/>
        <w:spacing w:after="0"/>
        <w:tabs>
          <w:tab w:leader="none" w:pos="1322" w:val="left"/>
        </w:tabs>
        <w:numPr>
          <w:ilvl w:val="0"/>
          <w:numId w:val="12"/>
        </w:numPr>
        <w:rPr>
          <w:rFonts w:ascii="Arial" w:cs="Arial" w:eastAsia="Arial" w:hAnsi="Arial"/>
          <w:sz w:val="14"/>
          <w:szCs w:val="14"/>
          <w:color w:val="auto"/>
        </w:rPr>
      </w:pPr>
      <w:r>
        <w:rPr>
          <w:rFonts w:ascii="Arial" w:cs="Arial" w:eastAsia="Arial" w:hAnsi="Arial"/>
          <w:sz w:val="14"/>
          <w:szCs w:val="14"/>
          <w:color w:val="auto"/>
        </w:rPr>
        <w:t>84</w:t>
      </w:r>
    </w:p>
    <w:p>
      <w:pPr>
        <w:spacing w:after="0" w:line="55" w:lineRule="exact"/>
        <w:rPr>
          <w:rFonts w:ascii="Arial" w:cs="Arial" w:eastAsia="Arial" w:hAnsi="Arial"/>
          <w:sz w:val="14"/>
          <w:szCs w:val="14"/>
          <w:color w:val="auto"/>
        </w:rPr>
      </w:pPr>
    </w:p>
    <w:p>
      <w:pPr>
        <w:ind w:left="1322"/>
        <w:spacing w:after="0"/>
        <w:rPr>
          <w:rFonts w:ascii="Arial" w:cs="Arial" w:eastAsia="Arial" w:hAnsi="Arial"/>
          <w:sz w:val="14"/>
          <w:szCs w:val="14"/>
          <w:color w:val="auto"/>
        </w:rPr>
      </w:pPr>
      <w:r>
        <w:rPr>
          <w:rFonts w:ascii="Arial" w:cs="Arial" w:eastAsia="Arial" w:hAnsi="Arial"/>
          <w:sz w:val="14"/>
          <w:szCs w:val="14"/>
          <w:color w:val="auto"/>
        </w:rPr>
        <w:t>96</w:t>
      </w:r>
    </w:p>
    <w:p>
      <w:pPr>
        <w:spacing w:after="0" w:line="55" w:lineRule="exact"/>
        <w:rPr>
          <w:rFonts w:ascii="Arial" w:cs="Arial" w:eastAsia="Arial" w:hAnsi="Arial"/>
          <w:sz w:val="14"/>
          <w:szCs w:val="14"/>
          <w:color w:val="auto"/>
        </w:rPr>
      </w:pPr>
    </w:p>
    <w:p>
      <w:pPr>
        <w:ind w:left="1322"/>
        <w:spacing w:after="0"/>
        <w:rPr>
          <w:rFonts w:ascii="Arial" w:cs="Arial" w:eastAsia="Arial" w:hAnsi="Arial"/>
          <w:sz w:val="14"/>
          <w:szCs w:val="14"/>
          <w:color w:val="auto"/>
        </w:rPr>
      </w:pPr>
      <w:r>
        <w:rPr>
          <w:rFonts w:ascii="Arial" w:cs="Arial" w:eastAsia="Arial" w:hAnsi="Arial"/>
          <w:sz w:val="14"/>
          <w:szCs w:val="14"/>
          <w:color w:val="auto"/>
        </w:rPr>
        <w:t>56</w:t>
      </w:r>
    </w:p>
    <w:p>
      <w:pPr>
        <w:spacing w:after="0" w:line="55" w:lineRule="exact"/>
        <w:rPr>
          <w:rFonts w:ascii="Arial" w:cs="Arial" w:eastAsia="Arial" w:hAnsi="Arial"/>
          <w:sz w:val="14"/>
          <w:szCs w:val="14"/>
          <w:color w:val="auto"/>
        </w:rPr>
      </w:pPr>
    </w:p>
    <w:p>
      <w:pPr>
        <w:ind w:left="1322"/>
        <w:spacing w:after="0"/>
        <w:rPr>
          <w:rFonts w:ascii="Arial" w:cs="Arial" w:eastAsia="Arial" w:hAnsi="Arial"/>
          <w:sz w:val="14"/>
          <w:szCs w:val="14"/>
          <w:color w:val="auto"/>
        </w:rPr>
      </w:pPr>
      <w:r>
        <w:rPr>
          <w:rFonts w:ascii="Arial" w:cs="Arial" w:eastAsia="Arial" w:hAnsi="Arial"/>
          <w:sz w:val="14"/>
          <w:szCs w:val="14"/>
          <w:color w:val="auto"/>
        </w:rPr>
        <w:t>50</w:t>
      </w:r>
    </w:p>
    <w:p>
      <w:pPr>
        <w:spacing w:after="0" w:line="55" w:lineRule="exact"/>
        <w:rPr>
          <w:rFonts w:ascii="Arial" w:cs="Arial" w:eastAsia="Arial" w:hAnsi="Arial"/>
          <w:sz w:val="14"/>
          <w:szCs w:val="14"/>
          <w:color w:val="auto"/>
        </w:rPr>
      </w:pPr>
    </w:p>
    <w:p>
      <w:pPr>
        <w:ind w:left="1322"/>
        <w:spacing w:after="0"/>
        <w:rPr>
          <w:rFonts w:ascii="Arial" w:cs="Arial" w:eastAsia="Arial" w:hAnsi="Arial"/>
          <w:sz w:val="14"/>
          <w:szCs w:val="14"/>
          <w:color w:val="auto"/>
        </w:rPr>
      </w:pPr>
      <w:r>
        <w:rPr>
          <w:rFonts w:ascii="Arial" w:cs="Arial" w:eastAsia="Arial" w:hAnsi="Arial"/>
          <w:sz w:val="14"/>
          <w:szCs w:val="14"/>
          <w:color w:val="auto"/>
        </w:rPr>
        <w:t>49</w:t>
      </w:r>
    </w:p>
    <w:p>
      <w:pPr>
        <w:spacing w:after="0" w:line="6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94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183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121</w:t>
      </w:r>
    </w:p>
    <w:p>
      <w:pPr>
        <w:spacing w:after="0" w:line="22" w:lineRule="exact"/>
        <w:rPr>
          <w:sz w:val="20"/>
          <w:szCs w:val="20"/>
          <w:color w:val="auto"/>
        </w:rPr>
      </w:pPr>
    </w:p>
    <w:p>
      <w:pPr>
        <w:sectPr>
          <w:pgSz w:w="11900" w:h="16838" w:orient="portrait"/>
          <w:cols w:equalWidth="0" w:num="2">
            <w:col w:w="9600" w:space="78"/>
            <w:col w:w="1542"/>
          </w:cols>
          <w:pgMar w:left="320" w:top="1421" w:right="359" w:bottom="1440" w:gutter="0" w:footer="0" w:header="0"/>
        </w:sectPr>
      </w:pPr>
    </w:p>
    <w:tbl>
      <w:tblPr>
        <w:tblLayout w:type="fixed"/>
        <w:tblInd w:w="20" w:type="dxa"/>
        <w:tblCellMar>
          <w:top w:w="0" w:type="dxa"/>
          <w:left w:w="0" w:type="dxa"/>
          <w:bottom w:w="0" w:type="dxa"/>
          <w:right w:w="0" w:type="dxa"/>
        </w:tblCellMar>
      </w:tblPr>
      <w:tr>
        <w:trPr>
          <w:trHeight w:val="215"/>
        </w:trPr>
        <w:tc>
          <w:tcPr>
            <w:tcW w:w="96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long-term liabilities</w:t>
            </w:r>
          </w:p>
        </w:tc>
        <w:tc>
          <w:tcPr>
            <w:tcW w:w="6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2"/>
        </w:trPr>
        <w:tc>
          <w:tcPr>
            <w:tcW w:w="9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b w:val="1"/>
                <w:bCs w:val="1"/>
                <w:color w:val="auto"/>
              </w:rPr>
              <w:t>Total liabilities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assets purchased</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40" w:type="dxa"/>
            <w:vAlign w:val="bottom"/>
            <w:vMerge w:val="continue"/>
          </w:tcPr>
          <w:p>
            <w:pPr>
              <w:spacing w:after="0"/>
              <w:rPr>
                <w:sz w:val="16"/>
                <w:szCs w:val="16"/>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96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6"/>
        </w:trPr>
        <w:tc>
          <w:tcPr>
            <w:tcW w:w="96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Common stock issued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0"/>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 paid</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0"/>
        </w:trPr>
        <w:tc>
          <w:tcPr>
            <w:tcW w:w="96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Goodwill recorded </w:t>
            </w:r>
            <w:r>
              <w:rPr>
                <w:rFonts w:ascii="Arial" w:cs="Arial" w:eastAsia="Arial" w:hAnsi="Arial"/>
                <w:sz w:val="21"/>
                <w:szCs w:val="21"/>
                <w:color w:val="auto"/>
                <w:vertAlign w:val="superscript"/>
              </w:rPr>
              <w:t>(3)</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acquired $392 million of intangible assets comprised of customer relationships and trade names, with weighted-average useful lives of 15 years.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fair value of the Company’s common stock issued.</w:t>
      </w:r>
    </w:p>
    <w:p>
      <w:pPr>
        <w:spacing w:after="0" w:line="9" w:lineRule="exact"/>
        <w:rPr>
          <w:rFonts w:ascii="Arial" w:cs="Arial" w:eastAsia="Arial" w:hAnsi="Arial"/>
          <w:sz w:val="14"/>
          <w:szCs w:val="14"/>
          <w:color w:val="auto"/>
        </w:rPr>
      </w:pPr>
    </w:p>
    <w:p>
      <w:pPr>
        <w:ind w:left="260" w:right="200" w:hanging="252"/>
        <w:spacing w:after="0" w:line="283" w:lineRule="auto"/>
        <w:tabs>
          <w:tab w:leader="none" w:pos="2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Goodwill represents the excess of the purchase price over the fair value of identifiable assets acquired and liabilities assumed at the acquisition date. Goodwill acquired was recorded in the United Kingdom and Ireland reporting unit and was primarily attributed to anticipated synergies.</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values of the assets acquired and liabilities assumed are considered preliminary and subject to adjustment as additional information is obtained and reviewed. The final allocation of the purchase price may differ from the preliminary allocation based on completion of the valuation. The Company expects to finalize the purchase price allocation within the measurement period, which will not exceed one year from the acquisition date. The primary areas of the purchase price allocation that are not yet finalized relate to lease assets and liabilities, certain long term liabilities, income taxes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53" w:name="page54"/>
    <w:bookmarkEnd w:id="53"/>
    <w:p>
      <w:pPr>
        <w:ind w:right="20"/>
        <w:spacing w:after="0" w:line="301" w:lineRule="auto"/>
        <w:rPr>
          <w:sz w:val="20"/>
          <w:szCs w:val="20"/>
          <w:color w:val="auto"/>
        </w:rPr>
      </w:pPr>
      <w:r>
        <w:rPr>
          <w:rFonts w:ascii="Arial" w:cs="Arial" w:eastAsia="Arial" w:hAnsi="Arial"/>
          <w:sz w:val="16"/>
          <w:szCs w:val="16"/>
          <w:color w:val="auto"/>
        </w:rPr>
        <w:t>The following unaudited pro forma information presents the Company’s results of operations as if the Clipper Acquisition occurred on January 1, 2021. The pro forma results reflect the impact of incremental interest expense, net of hedging instruments, to finance the acquisition and amortization expenses on acquired intangible assets. Adjustments have also been made to remove transaction related costs. The unaudited pro forma information is not necessarily indicative of what the results of operations of the combined company would have been if the acquisition had been completed on January 1, 2021.</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9,074</w:t>
            </w:r>
          </w:p>
        </w:tc>
      </w:tr>
      <w:tr>
        <w:trPr>
          <w:trHeight w:val="210"/>
        </w:trPr>
        <w:tc>
          <w:tcPr>
            <w:tcW w:w="800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Acquisition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2021, the Company acquired the majority of Kuehne + Nagel’s contract logistics operations in the U.K. (the “K + N Acquisition”). For the year ended December 31, 2021, the K + N Acquisition generated revenues of $604 million, primarily recorded in the food and beverage vertical, and income before income taxes was not material. The operations provide a range of logistics services, including inbound and outbound distribution, reverse logistics management and inventory management.</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recorded the fair value of assets and liabilities assumed, including $281 million of operating and finance lease assets and liabilities. The Company acquired intangibles of $26 million with a weighted-average amortization period of 9 years. Goodwill acquired in connection with the acquisition was $16 million, recorded in the European reporting unit. Pro forma results of operations for this acquisition have not been presented as they are not material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goodwill for the years ended December 31, 2022 and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30"/>
        </w:trPr>
        <w:tc>
          <w:tcPr>
            <w:tcW w:w="9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Acquisition </w:t>
            </w:r>
            <w:r>
              <w:rPr>
                <w:rFonts w:ascii="Arial" w:cs="Arial" w:eastAsia="Arial" w:hAnsi="Arial"/>
                <w:sz w:val="23"/>
                <w:szCs w:val="23"/>
                <w:color w:val="auto"/>
                <w:vertAlign w:val="superscript"/>
              </w:rPr>
              <w:t>(1)</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foreign exchange translation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Goodwill as of December 31, 2021</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30"/>
        </w:trPr>
        <w:tc>
          <w:tcPr>
            <w:tcW w:w="9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Impact of foreign exchange translation</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2022</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Changes to goodwill amounts resulting from foreign currency translation after the acquisition date are presented as the impact of foreign exchange translation.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there were no accumulated goodwill impairment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6.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identifiable intangible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Value</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Value</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Trade names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2021 and 2020, there were no intangible assets impairment losses.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expense was $68 million, $61 million and $61 million for the years ended December 31, 2022, 2021 and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each of the five succeeding fiscal years and thereafter is as follows.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Thereafter</w:t>
            </w:r>
          </w:p>
        </w:tc>
      </w:tr>
      <w:tr>
        <w:trPr>
          <w:trHeight w:val="21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Estimated amortization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property and equipment:</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equipment and other</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Computer, software and equipment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automated systems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property and equipment, gross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Includes internally developed software of $223 million and $214 million as of December 31, 2022 and 2021, respectively.</w:t>
      </w:r>
    </w:p>
    <w:p>
      <w:pPr>
        <w:spacing w:after="0" w:line="2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Depreciation of property and equipment was $261 million, $274 million and $262 million for the years ended December 31, 2022,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and 2021, the Company held long-lived tangible assets outside the U.S. of $475 million and $428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8.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in the Consolidated Balance Sheets related to leases: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r>
      <w:tr>
        <w:trPr>
          <w:trHeight w:val="26"/>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6"/>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r>
      <w:tr>
        <w:trPr>
          <w:trHeight w:val="26"/>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4"/>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obligations under finance leases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debt and obligations under finance leases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6"/>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Supplemental weighted-average information for leases was as follows: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95"/>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7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3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2340" w:type="dxa"/>
            <w:vAlign w:val="bottom"/>
            <w:gridSpan w:val="3"/>
          </w:tcPr>
          <w:p>
            <w:pPr>
              <w:jc w:val="right"/>
              <w:ind w:right="680"/>
              <w:spacing w:after="0"/>
              <w:rPr>
                <w:sz w:val="20"/>
                <w:szCs w:val="20"/>
                <w:color w:val="auto"/>
              </w:rPr>
            </w:pPr>
            <w:r>
              <w:rPr>
                <w:rFonts w:ascii="Arial" w:cs="Arial" w:eastAsia="Arial" w:hAnsi="Arial"/>
                <w:sz w:val="18"/>
                <w:szCs w:val="18"/>
                <w:color w:val="auto"/>
              </w:rPr>
              <w:t>5.9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5.3 years</w:t>
            </w:r>
          </w:p>
        </w:tc>
      </w:tr>
      <w:tr>
        <w:trPr>
          <w:trHeight w:val="26"/>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34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10.4 years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years</w:t>
            </w:r>
          </w:p>
        </w:tc>
      </w:tr>
      <w:tr>
        <w:trPr>
          <w:trHeight w:val="234"/>
        </w:trPr>
        <w:tc>
          <w:tcPr>
            <w:tcW w:w="78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
        </w:trPr>
        <w:tc>
          <w:tcPr>
            <w:tcW w:w="7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Finance leases</w:t>
            </w:r>
          </w:p>
        </w:tc>
        <w:tc>
          <w:tcPr>
            <w:tcW w:w="168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3.8 %</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Operating lease cost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lease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Finance leases: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expense on lease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7"/>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Leased assets obtained in exchange for new lease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76"/>
        </w:trPr>
        <w:tc>
          <w:tcPr>
            <w:tcW w:w="63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5"/>
              </w:rPr>
              <w:t>Operating leases, including $233 and $281 from an acquisition in 2022 and 2021,</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3"/>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175"/>
        </w:trPr>
        <w:tc>
          <w:tcPr>
            <w:tcW w:w="63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Finance leases, including $16 and $23 from an acquisition in 2022 and 2021,</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553"/>
        </w:trPr>
        <w:tc>
          <w:tcPr>
            <w:tcW w:w="636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December 31, 2022 were as follows: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7"/>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Finance Leases</w:t>
            </w:r>
          </w:p>
        </w:tc>
        <w:tc>
          <w:tcPr>
            <w:tcW w:w="10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Operating Leases</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As of December 31, 2022, the Company had additional operating leases that have not yet commenced with future undiscounted lease payments of approximately $15 million. These operating leases will begin in 2023, with initial lease terms ranging from 5 to 6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our debt:</w:t>
      </w:r>
    </w:p>
    <w:p>
      <w:pPr>
        <w:spacing w:after="0" w:line="50"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December 31,</w:t>
      </w:r>
    </w:p>
    <w:p>
      <w:pPr>
        <w:sectPr>
          <w:pgSz w:w="11900" w:h="16838" w:orient="portrait"/>
          <w:cols w:equalWidth="0" w:num="1">
            <w:col w:w="11240"/>
          </w:cols>
          <w:pgMar w:left="320" w:top="1421" w:right="3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1.65% Unsecured notes due 2026 </w:t>
      </w:r>
      <w:r>
        <w:rPr>
          <w:rFonts w:ascii="Arial" w:cs="Arial" w:eastAsia="Arial" w:hAnsi="Arial"/>
          <w:sz w:val="18"/>
          <w:szCs w:val="18"/>
          <w:color w:val="auto"/>
          <w:vertAlign w:val="superscript"/>
        </w:rPr>
        <w:t>(2)</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2.65% Unsecured notes due 2031 </w:t>
      </w:r>
      <w:r>
        <w:rPr>
          <w:rFonts w:ascii="Arial" w:cs="Arial" w:eastAsia="Arial" w:hAnsi="Arial"/>
          <w:sz w:val="18"/>
          <w:szCs w:val="18"/>
          <w:color w:val="auto"/>
          <w:vertAlign w:val="superscript"/>
        </w:rPr>
        <w:t>(3)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Two-Year Term Loan due 2024</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Three-Year Term Loan due 2025 </w:t>
      </w:r>
      <w:r>
        <w:rPr>
          <w:rFonts w:ascii="Arial" w:cs="Arial" w:eastAsia="Arial" w:hAnsi="Arial"/>
          <w:sz w:val="18"/>
          <w:szCs w:val="18"/>
          <w:color w:val="auto"/>
          <w:vertAlign w:val="superscript"/>
        </w:rPr>
        <w:t>(4)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Five-Year Term Loan due 2027 </w:t>
      </w:r>
      <w:r>
        <w:rPr>
          <w:rFonts w:ascii="Arial" w:cs="Arial" w:eastAsia="Arial" w:hAnsi="Arial"/>
          <w:sz w:val="20"/>
          <w:szCs w:val="20"/>
          <w:color w:val="auto"/>
          <w:vertAlign w:val="superscript"/>
        </w:rPr>
        <w:t>(4)</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Finance leases and other debt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8"/>
              </w:rPr>
              <w:t xml:space="preserve">Rate </w:t>
            </w:r>
            <w:r>
              <w:rPr>
                <w:rFonts w:ascii="Arial" w:cs="Arial" w:eastAsia="Arial" w:hAnsi="Arial"/>
                <w:sz w:val="21"/>
                <w:szCs w:val="21"/>
                <w:b w:val="1"/>
                <w:bCs w:val="1"/>
                <w:color w:val="auto"/>
                <w:w w:val="88"/>
                <w:vertAlign w:val="superscript"/>
              </w:rPr>
              <w:t>(1)</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11"/>
        </w:trPr>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1.65%</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128"/>
        </w:trPr>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0"/>
              </w:rPr>
              <w:t>2.65%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127"/>
        </w:trPr>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90"/>
              </w:rPr>
              <w:t>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90"/>
              </w:rPr>
              <w:t>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90"/>
              </w:rPr>
              <w:t>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Various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-581025</wp:posOffset>
            </wp:positionV>
            <wp:extent cx="71151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-289560</wp:posOffset>
            </wp:positionV>
            <wp:extent cx="711517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-1155065</wp:posOffset>
            </wp:positionV>
            <wp:extent cx="711517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40" w:space="720"/>
            <w:col w:w="4880"/>
          </w:cols>
          <w:pgMar w:left="320" w:top="1421" w:right="33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 and obligations under finance leases</w:t>
            </w: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borrowings and obligations under finance leases</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and obligations under finance leases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rate as of December 31, 2022.</w:t>
      </w:r>
    </w:p>
    <w:p>
      <w:pPr>
        <w:spacing w:after="0" w:line="21"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of unamortized debt issuance costs and discount of $3 million as of December 31, 2022 and 2021.</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of unamortized debt issuance costs and discount of $3 million and $4 million as of December 31, 2022 and 2021, respectively.</w:t>
      </w:r>
    </w:p>
    <w:p>
      <w:pPr>
        <w:spacing w:after="0" w:line="6"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of unamortized debt issuance costs of $1 million as of December 31, 2022.</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Five-Year Term Loan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25, 2022, the Company entered into a five-year unsecured Term Loan (the “Five-Year Term Loan”) that provided a $500 million unsecured term loan facility to fund the Clipper Acquisition. On May 26, 2022, the Company borrowed $500 million that will mature on May 26, 2027. The loan bears interest at a fluctuating rate per annum equal to, at the Company’s option, the alternate base rate or the adjusted Secured Overnight Financing Rate (SOFR), plus an applicable margin based on the Company’s credit ratings.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Delayed Draw Term Loan</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March 22, 2022, the Company entered into an unsecured delayed draw Term Loan (the “Delayed Draw Term Loan”) that provided a £375 million unsecured term loan facility to fund the Clipper Acquisition. The loan was available to the Company in U.S. dollars or British pounds sterling. On May 26, 2022, the Company borrowed, in U.S. dollars, a $165 million two-year term loan tranche (the “Two-Year Term Loan”) and a $235 million three-year term loan tranche (the “Three-Year Term Loan”) that will mature on May 26, 2024 and May 26, 2025, respectively. The Two-Year Term Loan and Three-Year Term Loan bear interest at a fluctuating rate per annum equal to, at the Company’s option, the alternate base rate or the adjusted SOFR, plus an applicable margin based on the Company’s credit ratings. In December 2022, the Company repaid $50 million against the Two-Year Term Loan.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Term Loan</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28, 2022, the Company entered into an unsecured Bridge Term Loan (the “Bridge Term Loan”) that provided a £745 million unsecured term loan facility to fund the Clipper Acquisition. The commitments under the Bridge Term Loan were terminated with the effectiveness of the Five-Year Term Loan and the Delayed Draw Term Loan. No amounts were drawn under the Bridge Term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July 2021, prior to the Separation, the Company completed an offering of $800 million aggregate principal amount of notes, consisting of $400 million of notes due 2026 (the “2026 Notes”) and $400 million of notes due 2031 (the “2031 Notes”). The 2026 Notes bear interest at a rate of 1.65% per annum payable semiannually in arrears on January 15 and July 15 of each year, beginning January 15, 2022, and maturing on July 15, 2026. The 2031 Notes bear interest at a rate of 2.65% per annum payable semiannually in arrears on January 15 and July 15 of each year, beginning January 15, 2022, and maturing on July 15, 2031.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June 2021, prior to the Separation, the Company entered into a five-year unsecured multi-currency Revolving Credit Facility (the “Revolving Credit Facility”). The Revolving Credit Facility provides commitments of up to $800 million, of which $60 million will be available for the issuance of letters of credit. Loans under the Revolving Credit Facility bear interest at a fluctuating rate equal to (i) with respect to borrowings in dollars, at the Company’s option, the alternate base rate or the reserve-adjusted LIBOR, (ii) with respect to borrowings in Canadian dollars, the reserve-adjusted Canadian Dollar Offered Rate, and (iii) with respect to borrowings in Euros, the reserve-adjusted Euro Interbank Offered Rate, in each case, plus an applicable margin calculated based on the Company’s credit ratings. In addition, the Company is paying a commitment fee of 0.15% per annum on the unused portion of the commitments under the Revolving Credit Facility. No amounts were outstanding under the Revolving Credit Facility as of December 31, 2022 or December 31, 2021.</w:t>
      </w:r>
    </w:p>
    <w:p>
      <w:pPr>
        <w:spacing w:after="0" w:line="21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addition, pursuant to the Clipper Acquisition, the Company assumed a revolving credit facility agreement under which it may borrow up to approximately £45 million ($54 million as of December 31, 2022) in aggregate at any time, expiring in November 2023. As of December 31, 2022, the Company had $18 million of borrowings outstanding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Amounts drawn and repaid in 90 days or less under the revolving credit facilities are presented net in the Consolidated Statement of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Factoring Programs and Trade Receivables Securitization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sells certain of its trade accounts receivables on a non-recourse basis to third-party financial institutions under various factoring agreements. The Company also sold certain European trade accounts receivables under a securitization program that was terminated in the first quarter of 2022. The Company accounts for these transactions as sales of receivables and presents cash proceeds as cash provided by operating activities in the Consolidated Statements of Cash Flows.</w:t>
      </w: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accounts for these transactions as sales because the Company sells full title and ownership in the underlying receivables and control of the receivables is considered transferred. For these transfers, the receivables are removed from the Consolidated Balance Sheets at the date of transfer.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trade receivables sold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Factoring agreements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Receivables sold in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consideration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Securitization program</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sold in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Cash consideration</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purchase price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covenants in the Five-Year Term Loan, the Delayed Draw Term Loan, the Unsecured Notes, and the Revolving Credit Facilities,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complied with the covenants contained in its debt and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and Financial Instruments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9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December 31, 2022 and 2021, due to their short-term nature.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Debt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40" w:type="dxa"/>
            <w:vAlign w:val="bottom"/>
            <w:gridSpan w:val="2"/>
          </w:tcPr>
          <w:p>
            <w:pPr>
              <w:spacing w:after="0"/>
              <w:rPr>
                <w:sz w:val="20"/>
                <w:szCs w:val="20"/>
                <w:color w:val="auto"/>
              </w:rPr>
            </w:pPr>
            <w:r>
              <w:rPr>
                <w:rFonts w:ascii="Arial" w:cs="Arial" w:eastAsia="Arial" w:hAnsi="Arial"/>
                <w:sz w:val="18"/>
                <w:szCs w:val="18"/>
                <w:color w:val="auto"/>
              </w:rPr>
              <w:t>The fair value of debt was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Pr>
          <w:p>
            <w:pPr>
              <w:spacing w:after="0"/>
              <w:rPr>
                <w:sz w:val="24"/>
                <w:szCs w:val="24"/>
                <w:color w:val="auto"/>
              </w:rPr>
            </w:pPr>
          </w:p>
        </w:tc>
        <w:tc>
          <w:tcPr>
            <w:tcW w:w="2980" w:type="dxa"/>
            <w:vAlign w:val="bottom"/>
            <w:gridSpan w:val="4"/>
          </w:tcPr>
          <w:p>
            <w:pPr>
              <w:jc w:val="right"/>
              <w:ind w:right="798"/>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w w:val="95"/>
              </w:rPr>
              <w:t>Carrying Value</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w w:val="95"/>
              </w:rPr>
              <w:t>Carrying Value</w:t>
            </w:r>
          </w:p>
        </w:tc>
        <w:tc>
          <w:tcPr>
            <w:tcW w:w="0" w:type="dxa"/>
            <w:vAlign w:val="bottom"/>
          </w:tcPr>
          <w:p>
            <w:pPr>
              <w:spacing w:after="0"/>
              <w:rPr>
                <w:sz w:val="1"/>
                <w:szCs w:val="1"/>
                <w:color w:val="auto"/>
              </w:rPr>
            </w:pPr>
          </w:p>
        </w:tc>
      </w:tr>
      <w:tr>
        <w:trPr>
          <w:trHeight w:val="25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1.65% Unsecured notes due 2026</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94"/>
        </w:trPr>
        <w:tc>
          <w:tcPr>
            <w:tcW w:w="3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2.65% Unsecured notes due 2031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94"/>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Two-Year Term Loan due 2024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Three-Year Term Loan due 2025</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Five-Year Term Loan due 2027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5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and interest rates. These financial instruments are not used for trading or other speculative purposes. The Company does not expect to incur any losses as a result of counterparty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uses fixed-to-fixed or variable-to-variable cross-currency swap agreements to hedge its net investments in foreign operations against future volatility in the exchange rates between the U.S. dollar and the associated foreign currencies. The Company designated these cross-currency swap agreements as qualifying hedging instruments and accounts for them as net investment hedges.</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first quarter of 2022, the Company extended certain fixed-to-fixed cross-currency swap agreements scheduled to mature between 2022 to 2027, with an aggregate notional amount of $322 million. In the second quarter of 2022, the Company extended a fixed-to-fixed cross-currency swap agreement scheduled to mature in 2026 to 2027, with an aggregate notional amount of $165 million. Additionally, in the second quarter of 2022, the Company entered into multiple cross-currency swap agreements with maturity dates ranging from 2023 to 2027, with an aggregate notional amount of $900 million, of which $250 million and $165 million were amended during the second and third quarters of 2022, respectively. In the fourth quarter of 2022, the Company amended certain fixed-to-fixed cross-currency swap agreements scheduled to mature in 2027 to 2026, with aggregate notional amounts of $322 million, these amendments were not material to the Consolidated Financial Statements. Concurrent with the $50 million Two-Year Term Loan repayment, $50 million of a variable-to-variable cross-currency swap agreement notional amount was reduced.</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connection with the extensions, amendments and reduction, the Company received net cash of $21 million representing the fair value of the swap plus interest accrued through the date of termination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uses interest rate swap agreements to hedge the variability of cash flows resulting from floating interest rate borrowings. The Company designated these interest rate swap agreements as qualifying hedging instruments and accounts for them as cash flow hedges. When an interest rate swap agreement qualifies for hedge accounting as a cash flow hedge, the changes in the fair value are recorded in equity as a component of AOCI and are reclassified into Interest expense, net over the life of the underlying debt, as interest on the Company’s floating rate debt is accrued. In the second quarter of 2022, the Company entered into multiple interest rate swap agreements with an aggregate notional amount of $250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5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is exposed to certain risks relating to its ongoing business operations, including foreign currency exchange rate risk. The Company uses foreign currency option contracts to mitigate the risk of a reduction in the value of earnings from its operations that use the Euro or British pound sterling as their functional currency. Additionally, the Company uses foreign currency forward contracts to mitigate exposure from variability of cash flows related to the forecasted interest and principal payments on intercompany loans. The foreign currency forward contracts generally expire within 12 months. While these derivatives are hedging the fluctuations in foreign currencies, they do not meet the requirements to be accounted for as hedging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gross notional and fair value of derivative instruments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60" w:type="dxa"/>
            <w:vAlign w:val="bottom"/>
          </w:tcPr>
          <w:p>
            <w:pPr>
              <w:spacing w:after="0"/>
              <w:rPr>
                <w:sz w:val="13"/>
                <w:szCs w:val="13"/>
                <w:color w:val="auto"/>
              </w:rPr>
            </w:pPr>
          </w:p>
        </w:tc>
        <w:tc>
          <w:tcPr>
            <w:tcW w:w="94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Notional</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Notional</w:t>
            </w:r>
          </w:p>
        </w:tc>
        <w:tc>
          <w:tcPr>
            <w:tcW w:w="14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Fair Value</w:t>
            </w:r>
          </w:p>
        </w:tc>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Balance Sheet Location</w:t>
            </w:r>
          </w:p>
        </w:tc>
        <w:tc>
          <w:tcPr>
            <w:tcW w:w="0" w:type="dxa"/>
            <w:vAlign w:val="bottom"/>
          </w:tcPr>
          <w:p>
            <w:pPr>
              <w:spacing w:after="0"/>
              <w:rPr>
                <w:sz w:val="1"/>
                <w:szCs w:val="1"/>
                <w:color w:val="auto"/>
              </w:rPr>
            </w:pPr>
          </w:p>
        </w:tc>
      </w:tr>
      <w:tr>
        <w:trPr>
          <w:trHeight w:val="213"/>
        </w:trPr>
        <w:tc>
          <w:tcPr>
            <w:tcW w:w="4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Cross-currency swap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3"/>
        </w:trPr>
        <w:tc>
          <w:tcPr>
            <w:tcW w:w="434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5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140"/>
              <w:spacing w:after="0"/>
              <w:rPr>
                <w:sz w:val="20"/>
                <w:szCs w:val="20"/>
                <w:color w:val="auto"/>
              </w:rPr>
            </w:pPr>
            <w:r>
              <w:rPr>
                <w:rFonts w:ascii="Arial" w:cs="Arial" w:eastAsia="Arial" w:hAnsi="Arial"/>
                <w:sz w:val="16"/>
                <w:szCs w:val="16"/>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Cross-currency swap agreements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option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0" w:type="dxa"/>
            <w:vAlign w:val="bottom"/>
          </w:tcPr>
          <w:p>
            <w:pPr>
              <w:spacing w:after="0"/>
              <w:rPr>
                <w:sz w:val="1"/>
                <w:szCs w:val="1"/>
                <w:color w:val="auto"/>
              </w:rPr>
            </w:pPr>
          </w:p>
        </w:tc>
      </w:tr>
      <w:tr>
        <w:trPr>
          <w:trHeight w:val="213"/>
        </w:trPr>
        <w:tc>
          <w:tcPr>
            <w:tcW w:w="434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5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2022 and 2021, the derivatives were classified as Level 2 within the fair value hierarchy. The derivatives are valued using inputs other than quoted prices such as foreign exchange rates and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effect of hedges on AOCI and in the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40" w:type="dxa"/>
            <w:vAlign w:val="bottom"/>
            <w:gridSpan w:val="8"/>
          </w:tcPr>
          <w:p>
            <w:pPr>
              <w:spacing w:after="0"/>
              <w:rPr>
                <w:sz w:val="20"/>
                <w:szCs w:val="20"/>
                <w:color w:val="auto"/>
              </w:rPr>
            </w:pPr>
            <w:r>
              <w:rPr>
                <w:rFonts w:ascii="Arial" w:cs="Arial" w:eastAsia="Arial" w:hAnsi="Arial"/>
                <w:sz w:val="14"/>
                <w:szCs w:val="14"/>
                <w:b w:val="1"/>
                <w:bCs w:val="1"/>
                <w:color w:val="auto"/>
              </w:rPr>
              <w:t>Year Ended December 31, 2022</w:t>
            </w:r>
          </w:p>
        </w:tc>
        <w:tc>
          <w:tcPr>
            <w:tcW w:w="140" w:type="dxa"/>
            <w:vAlign w:val="bottom"/>
          </w:tcPr>
          <w:p>
            <w:pPr>
              <w:spacing w:after="0"/>
              <w:rPr>
                <w:sz w:val="16"/>
                <w:szCs w:val="16"/>
                <w:color w:val="auto"/>
              </w:rPr>
            </w:pPr>
          </w:p>
        </w:tc>
        <w:tc>
          <w:tcPr>
            <w:tcW w:w="4200" w:type="dxa"/>
            <w:vAlign w:val="bottom"/>
            <w:gridSpan w:val="7"/>
          </w:tcPr>
          <w:p>
            <w:pPr>
              <w:jc w:val="right"/>
              <w:ind w:right="1148"/>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3"/>
              <w:spacing w:after="0" w:line="133" w:lineRule="exact"/>
              <w:rPr>
                <w:sz w:val="20"/>
                <w:szCs w:val="20"/>
                <w:color w:val="auto"/>
              </w:rPr>
            </w:pPr>
            <w:r>
              <w:rPr>
                <w:rFonts w:ascii="Arial" w:cs="Arial" w:eastAsia="Arial" w:hAnsi="Arial"/>
                <w:sz w:val="13"/>
                <w:szCs w:val="13"/>
                <w:b w:val="1"/>
                <w:bCs w:val="1"/>
                <w:color w:val="auto"/>
                <w:w w:val="94"/>
              </w:rPr>
              <w:t>Amount of Gain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Gain Recognized in Net</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Gain Recognized in Net</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jc w:val="center"/>
              <w:spacing w:after="0" w:line="131" w:lineRule="exact"/>
              <w:rPr>
                <w:sz w:val="20"/>
                <w:szCs w:val="20"/>
                <w:color w:val="auto"/>
              </w:rPr>
            </w:pPr>
            <w:r>
              <w:rPr>
                <w:rFonts w:ascii="Arial" w:cs="Arial" w:eastAsia="Arial" w:hAnsi="Arial"/>
                <w:sz w:val="13"/>
                <w:szCs w:val="13"/>
                <w:b w:val="1"/>
                <w:bCs w:val="1"/>
                <w:color w:val="auto"/>
                <w:w w:val="91"/>
              </w:rPr>
              <w:t>Recognized in Other</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Amount of Loss</w:t>
            </w: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Gain Reclassified</w:t>
            </w:r>
          </w:p>
        </w:tc>
        <w:tc>
          <w:tcPr>
            <w:tcW w:w="100" w:type="dxa"/>
            <w:vAlign w:val="bottom"/>
          </w:tcPr>
          <w:p>
            <w:pPr>
              <w:spacing w:after="0"/>
              <w:rPr>
                <w:sz w:val="4"/>
                <w:szCs w:val="4"/>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Income on Derivatives</w:t>
            </w: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Gain Reclassified</w:t>
            </w:r>
          </w:p>
        </w:tc>
        <w:tc>
          <w:tcPr>
            <w:tcW w:w="100" w:type="dxa"/>
            <w:vAlign w:val="bottom"/>
          </w:tcPr>
          <w:p>
            <w:pPr>
              <w:spacing w:after="0"/>
              <w:rPr>
                <w:sz w:val="4"/>
                <w:szCs w:val="4"/>
                <w:color w:val="auto"/>
              </w:rPr>
            </w:pPr>
          </w:p>
        </w:tc>
        <w:tc>
          <w:tcPr>
            <w:tcW w:w="15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Income on Derivatives</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0"/>
              </w:rPr>
              <w:t>Comprehensive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Recognized in Other</w:t>
            </w: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0"/>
                <w:szCs w:val="10"/>
                <w:color w:val="auto"/>
              </w:rPr>
            </w:pPr>
          </w:p>
        </w:tc>
        <w:tc>
          <w:tcPr>
            <w:tcW w:w="1080" w:type="dxa"/>
            <w:vAlign w:val="bottom"/>
          </w:tcPr>
          <w:p>
            <w:pPr>
              <w:jc w:val="center"/>
              <w:ind w:right="13"/>
              <w:spacing w:after="0" w:line="122" w:lineRule="exact"/>
              <w:rPr>
                <w:sz w:val="20"/>
                <w:szCs w:val="20"/>
                <w:color w:val="auto"/>
              </w:rPr>
            </w:pPr>
            <w:r>
              <w:rPr>
                <w:rFonts w:ascii="Arial" w:cs="Arial" w:eastAsia="Arial" w:hAnsi="Arial"/>
                <w:sz w:val="13"/>
                <w:szCs w:val="13"/>
                <w:b w:val="1"/>
                <w:bCs w:val="1"/>
                <w:color w:val="auto"/>
                <w:w w:val="92"/>
              </w:rPr>
              <w:t>Income 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8"/>
              </w:rPr>
              <w:t>from AOCI into</w:t>
            </w:r>
          </w:p>
        </w:tc>
        <w:tc>
          <w:tcPr>
            <w:tcW w:w="100" w:type="dxa"/>
            <w:vAlign w:val="bottom"/>
          </w:tcPr>
          <w:p>
            <w:pPr>
              <w:spacing w:after="0"/>
              <w:rPr>
                <w:sz w:val="10"/>
                <w:szCs w:val="10"/>
                <w:color w:val="auto"/>
              </w:rPr>
            </w:pPr>
          </w:p>
        </w:tc>
        <w:tc>
          <w:tcPr>
            <w:tcW w:w="168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94"/>
              </w:rPr>
              <w:t>(Excluded from</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0"/>
                <w:szCs w:val="10"/>
                <w:color w:val="auto"/>
              </w:rPr>
            </w:pPr>
          </w:p>
        </w:tc>
        <w:tc>
          <w:tcPr>
            <w:tcW w:w="1200" w:type="dxa"/>
            <w:vAlign w:val="bottom"/>
            <w:gridSpan w:val="2"/>
          </w:tcPr>
          <w:p>
            <w:pPr>
              <w:jc w:val="center"/>
              <w:ind w:right="180"/>
              <w:spacing w:after="0" w:line="122" w:lineRule="exact"/>
              <w:rPr>
                <w:sz w:val="20"/>
                <w:szCs w:val="20"/>
                <w:color w:val="auto"/>
              </w:rPr>
            </w:pPr>
            <w:r>
              <w:rPr>
                <w:rFonts w:ascii="Arial" w:cs="Arial" w:eastAsia="Arial" w:hAnsi="Arial"/>
                <w:sz w:val="14"/>
                <w:szCs w:val="14"/>
                <w:b w:val="1"/>
                <w:bCs w:val="1"/>
                <w:color w:val="auto"/>
                <w:w w:val="98"/>
              </w:rPr>
              <w:t>from AOCI into</w:t>
            </w:r>
          </w:p>
        </w:tc>
        <w:tc>
          <w:tcPr>
            <w:tcW w:w="100" w:type="dxa"/>
            <w:vAlign w:val="bottom"/>
          </w:tcPr>
          <w:p>
            <w:pPr>
              <w:spacing w:after="0"/>
              <w:rPr>
                <w:sz w:val="10"/>
                <w:szCs w:val="10"/>
                <w:color w:val="auto"/>
              </w:rPr>
            </w:pPr>
          </w:p>
        </w:tc>
        <w:tc>
          <w:tcPr>
            <w:tcW w:w="1560" w:type="dxa"/>
            <w:vAlign w:val="bottom"/>
          </w:tcPr>
          <w:p>
            <w:pPr>
              <w:jc w:val="center"/>
              <w:ind w:right="28"/>
              <w:spacing w:after="0" w:line="122" w:lineRule="exact"/>
              <w:rPr>
                <w:sz w:val="20"/>
                <w:szCs w:val="20"/>
                <w:color w:val="auto"/>
              </w:rPr>
            </w:pPr>
            <w:r>
              <w:rPr>
                <w:rFonts w:ascii="Arial" w:cs="Arial" w:eastAsia="Arial" w:hAnsi="Arial"/>
                <w:sz w:val="14"/>
                <w:szCs w:val="14"/>
                <w:b w:val="1"/>
                <w:bCs w:val="1"/>
                <w:color w:val="auto"/>
                <w:w w:val="96"/>
              </w:rPr>
              <w:t>(Excluded from</w:t>
            </w:r>
          </w:p>
        </w:tc>
        <w:tc>
          <w:tcPr>
            <w:tcW w:w="0" w:type="dxa"/>
            <w:vAlign w:val="bottom"/>
          </w:tcPr>
          <w:p>
            <w:pPr>
              <w:spacing w:after="0"/>
              <w:rPr>
                <w:sz w:val="1"/>
                <w:szCs w:val="1"/>
                <w:color w:val="auto"/>
              </w:rPr>
            </w:pPr>
          </w:p>
        </w:tc>
      </w:tr>
      <w:tr>
        <w:trPr>
          <w:trHeight w:val="189"/>
        </w:trPr>
        <w:tc>
          <w:tcPr>
            <w:tcW w:w="2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Derivatives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 xml:space="preserve">Net Income </w:t>
            </w:r>
            <w:r>
              <w:rPr>
                <w:rFonts w:ascii="Arial" w:cs="Arial" w:eastAsia="Arial" w:hAnsi="Arial"/>
                <w:sz w:val="9"/>
                <w:szCs w:val="9"/>
                <w:b w:val="1"/>
                <w:bCs w:val="1"/>
                <w:color w:val="auto"/>
                <w:w w:val="95"/>
              </w:rPr>
              <w:t>(1)</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86"/>
              </w:rPr>
              <w:t xml:space="preserve">effectiveness testing) </w:t>
            </w:r>
            <w:r>
              <w:rPr>
                <w:rFonts w:ascii="Arial" w:cs="Arial" w:eastAsia="Arial" w:hAnsi="Arial"/>
                <w:sz w:val="18"/>
                <w:szCs w:val="18"/>
                <w:b w:val="1"/>
                <w:bCs w:val="1"/>
                <w:color w:val="auto"/>
                <w:w w:val="86"/>
                <w:vertAlign w:val="superscript"/>
              </w:rPr>
              <w:t>(1)</w:t>
            </w:r>
          </w:p>
        </w:tc>
        <w:tc>
          <w:tcPr>
            <w:tcW w:w="13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Income on Derivatives</w:t>
            </w: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 xml:space="preserve">Net Income </w:t>
            </w:r>
            <w:r>
              <w:rPr>
                <w:rFonts w:ascii="Arial" w:cs="Arial" w:eastAsia="Arial" w:hAnsi="Arial"/>
                <w:sz w:val="9"/>
                <w:szCs w:val="9"/>
                <w:b w:val="1"/>
                <w:bCs w:val="1"/>
                <w:color w:val="auto"/>
                <w:w w:val="95"/>
              </w:rPr>
              <w:t>(1)</w:t>
            </w:r>
          </w:p>
        </w:tc>
        <w:tc>
          <w:tcPr>
            <w:tcW w:w="100" w:type="dxa"/>
            <w:vAlign w:val="bottom"/>
          </w:tcPr>
          <w:p>
            <w:pPr>
              <w:spacing w:after="0"/>
              <w:rPr>
                <w:sz w:val="16"/>
                <w:szCs w:val="16"/>
                <w:color w:val="auto"/>
              </w:rPr>
            </w:pPr>
          </w:p>
        </w:tc>
        <w:tc>
          <w:tcPr>
            <w:tcW w:w="1560" w:type="dxa"/>
            <w:vAlign w:val="bottom"/>
          </w:tcPr>
          <w:p>
            <w:pPr>
              <w:jc w:val="center"/>
              <w:ind w:right="28"/>
              <w:spacing w:after="0" w:line="189" w:lineRule="exact"/>
              <w:rPr>
                <w:sz w:val="20"/>
                <w:szCs w:val="20"/>
                <w:color w:val="auto"/>
              </w:rPr>
            </w:pPr>
            <w:r>
              <w:rPr>
                <w:rFonts w:ascii="Arial" w:cs="Arial" w:eastAsia="Arial" w:hAnsi="Arial"/>
                <w:sz w:val="14"/>
                <w:szCs w:val="14"/>
                <w:b w:val="1"/>
                <w:bCs w:val="1"/>
                <w:color w:val="auto"/>
                <w:w w:val="87"/>
              </w:rPr>
              <w:t xml:space="preserve">effectiveness testing) </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133"/>
        </w:trPr>
        <w:tc>
          <w:tcPr>
            <w:tcW w:w="23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Derivatives designated as net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hedges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Cross-currency swap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line="231" w:lineRule="auto"/>
        <w:rPr>
          <w:sz w:val="20"/>
          <w:szCs w:val="20"/>
          <w:color w:val="auto"/>
        </w:rPr>
      </w:pPr>
      <w:r>
        <w:rPr>
          <w:rFonts w:ascii="Arial" w:cs="Arial" w:eastAsia="Arial" w:hAnsi="Arial"/>
          <w:sz w:val="14"/>
          <w:szCs w:val="14"/>
          <w:b w:val="1"/>
          <w:bCs w:val="1"/>
          <w:color w:val="auto"/>
        </w:rPr>
        <w:t>Derivatives designated as cash flow</w:t>
      </w:r>
    </w:p>
    <w:p>
      <w:pPr>
        <w:ind w:left="20"/>
        <w:spacing w:after="0"/>
        <w:rPr>
          <w:sz w:val="20"/>
          <w:szCs w:val="20"/>
          <w:color w:val="auto"/>
        </w:rPr>
      </w:pPr>
      <w:r>
        <w:rPr>
          <w:rFonts w:ascii="Arial" w:cs="Arial" w:eastAsia="Arial" w:hAnsi="Arial"/>
          <w:sz w:val="14"/>
          <w:szCs w:val="14"/>
          <w:b w:val="1"/>
          <w:bCs w:val="1"/>
          <w:color w:val="auto"/>
        </w:rPr>
        <w:t>hedges</w:t>
      </w:r>
    </w:p>
    <w:p>
      <w:pPr>
        <w:spacing w:after="0" w:line="16" w:lineRule="exact"/>
        <w:rPr>
          <w:sz w:val="20"/>
          <w:szCs w:val="20"/>
          <w:color w:val="auto"/>
        </w:rPr>
      </w:pPr>
    </w:p>
    <w:p>
      <w:pPr>
        <w:ind w:left="20"/>
        <w:spacing w:after="0"/>
        <w:tabs>
          <w:tab w:leader="none" w:pos="2440" w:val="left"/>
          <w:tab w:leader="none" w:pos="3560" w:val="left"/>
          <w:tab w:leader="none" w:pos="3820" w:val="left"/>
          <w:tab w:leader="none" w:pos="4780" w:val="left"/>
          <w:tab w:leader="none" w:pos="5100" w:val="left"/>
          <w:tab w:leader="none" w:pos="6580" w:val="left"/>
          <w:tab w:leader="none" w:pos="6900" w:val="left"/>
          <w:tab w:leader="none" w:pos="7960" w:val="left"/>
          <w:tab w:leader="none" w:pos="8280" w:val="left"/>
          <w:tab w:leader="none" w:pos="9260" w:val="left"/>
          <w:tab w:leader="none" w:pos="9580" w:val="left"/>
          <w:tab w:leader="none" w:pos="11020" w:val="left"/>
        </w:tabs>
        <w:rPr>
          <w:sz w:val="20"/>
          <w:szCs w:val="20"/>
          <w:color w:val="auto"/>
        </w:rPr>
      </w:pPr>
      <w:r>
        <w:rPr>
          <w:rFonts w:ascii="Arial" w:cs="Arial" w:eastAsia="Arial" w:hAnsi="Arial"/>
          <w:sz w:val="14"/>
          <w:szCs w:val="14"/>
          <w:color w:val="auto"/>
        </w:rPr>
        <w:t>Interest rate swaps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(1) Amounts reclassified to Net income are reported within Interest expense, net in the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hedges</w:t>
      </w:r>
    </w:p>
    <w:p>
      <w:pPr>
        <w:spacing w:after="0" w:line="252"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Gains and losses recognized in Other income, net in the Consolidated Statements of Operations for foreign currency options and forward contracts were as follows:</w:t>
      </w:r>
    </w:p>
    <w:tbl>
      <w:tblPr>
        <w:tblLayout w:type="fixed"/>
        <w:tblInd w:w="2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6"/>
                <w:szCs w:val="16"/>
                <w:b w:val="1"/>
                <w:bCs w:val="1"/>
                <w:color w:val="auto"/>
              </w:rPr>
              <w:t>Year Ended December 31,</w:t>
            </w:r>
          </w:p>
        </w:tc>
      </w:tr>
      <w:tr>
        <w:trPr>
          <w:trHeight w:val="226"/>
        </w:trPr>
        <w:tc>
          <w:tcPr>
            <w:tcW w:w="79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Pr>
          <w:p>
            <w:pPr>
              <w:spacing w:after="0"/>
              <w:rPr>
                <w:sz w:val="19"/>
                <w:szCs w:val="19"/>
                <w:color w:val="auto"/>
              </w:rPr>
            </w:pPr>
          </w:p>
        </w:tc>
        <w:tc>
          <w:tcPr>
            <w:tcW w:w="12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Realized gain</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center"/>
              <w:ind w:left="812"/>
              <w:spacing w:after="0"/>
              <w:rPr>
                <w:sz w:val="20"/>
                <w:szCs w:val="20"/>
                <w:color w:val="auto"/>
              </w:rPr>
            </w:pPr>
            <w:r>
              <w:rPr>
                <w:rFonts w:ascii="Arial" w:cs="Arial" w:eastAsia="Arial" w:hAnsi="Arial"/>
                <w:sz w:val="18"/>
                <w:szCs w:val="18"/>
                <w:color w:val="auto"/>
                <w:w w:val="89"/>
              </w:rPr>
              <w:t>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Unrealized gain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 recognized in 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812"/>
              <w:spacing w:after="0"/>
              <w:rPr>
                <w:sz w:val="20"/>
                <w:szCs w:val="20"/>
                <w:color w:val="auto"/>
              </w:rPr>
            </w:pPr>
            <w:r>
              <w:rPr>
                <w:rFonts w:ascii="Arial" w:cs="Arial" w:eastAsia="Arial" w:hAnsi="Arial"/>
                <w:sz w:val="18"/>
                <w:szCs w:val="18"/>
                <w:color w:val="auto"/>
                <w:w w:val="8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expenses were as follows:</w:t>
      </w:r>
    </w:p>
    <w:p>
      <w:pPr>
        <w:spacing w:after="0" w:line="4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Facility and transportation charges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Salaries and wages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Value-added tax and other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Prior to the Separation, GXO employees participated in XPO’s equity incentive plan, pursuant to which they were granted restricted stock units, performance-based restricted stock units and non-qualified or incentive stock options. All awards granted under these plans were related to XPO common shares. In connection with the Separation, outstanding awards held by GXO employees were converted in accordance with the EMA. Depending on whether the awards held on the Separation date were in an unvested or vested status, GXO employees either received converted awards solely in GXO based shares (unvested status) or a combination of GXO and XPO shares (vested status). The conversion methodology used was calculated in accordance with the EMA and with the purpose of maintaining the aggregate intrinsic value of the award immediately after the Separation when compared to the aggregate intrinsic value immediately prior to the Separation.</w:t>
      </w:r>
    </w:p>
    <w:p>
      <w:pPr>
        <w:spacing w:after="0" w:line="2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2, 2021, the date of the Separation, 114,626,250 shares of common stock of GXO were distributed to XPO stockholders of record as of the record date. This share amount is utilized for the calculation of basic and</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2" w:name="page63"/>
    <w:bookmarkEnd w:id="62"/>
    <w:p>
      <w:pPr>
        <w:ind w:right="340"/>
        <w:spacing w:after="0" w:line="277" w:lineRule="auto"/>
        <w:rPr>
          <w:sz w:val="20"/>
          <w:szCs w:val="20"/>
          <w:color w:val="auto"/>
        </w:rPr>
      </w:pPr>
      <w:r>
        <w:rPr>
          <w:rFonts w:ascii="Arial" w:cs="Arial" w:eastAsia="Arial" w:hAnsi="Arial"/>
          <w:sz w:val="18"/>
          <w:szCs w:val="18"/>
          <w:color w:val="auto"/>
        </w:rPr>
        <w:t>diluted earnings per share for all years presented prior to the Separation. For years prior to the Separation, it is assumed that there are no dilutive equity instruments as there were no equity awards of GXO outstanding prior to the Separation.</w:t>
      </w:r>
    </w:p>
    <w:p>
      <w:pPr>
        <w:spacing w:after="0" w:line="19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Diluted earnings per share was computed by giving effect to all potentially dilutive stock awards that were outstanding. The computation of diluted earnings per share excludes the effect of the potential exercise of stock-based awards when the effect of the potential exercise would be anti-dilutive.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Diluted effect of stock-based awards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0"/>
        </w:trPr>
        <w:tc>
          <w:tcPr>
            <w:tcW w:w="6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Antidilutive shares excluded from diluted weighted-average common shares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AOCI by component:</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Less: AOCI</w:t>
            </w:r>
          </w:p>
        </w:tc>
        <w:tc>
          <w:tcPr>
            <w:tcW w:w="160" w:type="dxa"/>
            <w:vAlign w:val="bottom"/>
          </w:tcPr>
          <w:p>
            <w:pPr>
              <w:spacing w:after="0"/>
              <w:rPr>
                <w:sz w:val="14"/>
                <w:szCs w:val="14"/>
                <w:color w:val="auto"/>
              </w:rPr>
            </w:pPr>
          </w:p>
        </w:tc>
        <w:tc>
          <w:tcPr>
            <w:tcW w:w="10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attributable to</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Flow</w:t>
            </w: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160" w:type="dxa"/>
            <w:vAlign w:val="bottom"/>
          </w:tcPr>
          <w:p>
            <w:pPr>
              <w:spacing w:after="0"/>
              <w:rPr>
                <w:sz w:val="12"/>
                <w:szCs w:val="12"/>
                <w:color w:val="auto"/>
              </w:rPr>
            </w:pPr>
          </w:p>
        </w:tc>
        <w:tc>
          <w:tcPr>
            <w:tcW w:w="10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Plans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to GXO</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December 31, 2020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120"/>
              <w:spacing w:after="0"/>
              <w:rPr>
                <w:sz w:val="20"/>
                <w:szCs w:val="20"/>
                <w:color w:val="auto"/>
              </w:rPr>
            </w:pPr>
            <w:r>
              <w:rPr>
                <w:rFonts w:ascii="Arial" w:cs="Arial" w:eastAsia="Arial" w:hAnsi="Arial"/>
                <w:sz w:val="16"/>
                <w:szCs w:val="16"/>
                <w:color w:val="auto"/>
              </w:rPr>
              <w:t>Foreign currency translation loss</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gain on defined benefit plans, net of tax</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Amounts reclassified from AOCI to net income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Transfers from XPO, net of tax</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5"/>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120"/>
              <w:spacing w:after="0"/>
              <w:rPr>
                <w:sz w:val="20"/>
                <w:szCs w:val="20"/>
                <w:color w:val="auto"/>
              </w:rPr>
            </w:pPr>
            <w:r>
              <w:rPr>
                <w:rFonts w:ascii="Arial" w:cs="Arial" w:eastAsia="Arial" w:hAnsi="Arial"/>
                <w:sz w:val="16"/>
                <w:szCs w:val="16"/>
                <w:color w:val="auto"/>
              </w:rPr>
              <w:t>Foreign currency translation loss</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gain on hedges, net of tax</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Unrealized loss on defined benefit plans, net of tax</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 to net income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14. Stock-Based Compensation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Separation, GXO employees participated in XPO’s equity incentive plan, pursuant to which they were granted restricted stock units, performance-based restricted stock units and non-qualified or incentive stock options. All awards granted under these plans related to XPO common shares. In connection with the Separation, and in accordance with the Employee Matters Agreement (“EMA”), the Company’s employees with outstanding former XPO stock-based awards received replacement stock-based awards under the Plan at Separation. The value of the replaced stock-based awards was designed to preserve the aggregate intrinsic value of the award immediately after the Separation when compared to the aggregate intrinsic value of the award immediately prior to the Separation.</w:t>
      </w:r>
    </w:p>
    <w:p>
      <w:pPr>
        <w:spacing w:after="0" w:line="219"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In 2021, the Company established the 2021 Omnibus Incentive Plan (the “2021 Incentive Plan”). The 2021 Incentive Plan authorizes the issuance of up to 11.6 million shares of common stock as Awards. Under the 2021 Incentive Plan, directors, officers and employees may be granted various types of stock-based compensation awards. These awards include stock options, restricted stock, RSUs, performance-based units and cash incentive awards (collectively, “Awards”). As of December 31, 2022, 8.2 million shares of common stock were available for the grant of Awards under the 2021 Incentive Plan.</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the Separation, the stock-based compensation expense recorded by the Company included the expense associated with the employees historically attributable to the Company’s operations, as well as the expense associated with the allocation of equity-based compensation expense for corporate employees. The amounts presented are not necessarily indicative of future awards and do not necessarily reflect the costs that the Company would have incurred as an independent company for the periods presented.</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stock-based compensation expense recorded in Selling, general and administrative expense in the Consolidated Statements of Income: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stock and restricted stock units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expense (benefit) on stock-based compensation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stock options vest over five years after the grant date, and have a 10-year contractual term with an exercise price equal to the stock price on the grant date. For awards issued prior to the Separation, the exercise price was converted in accordance with the EMA. The Black-Scholes option-pricing model was used to estimate the fair value of the share-based awards granted in 2021. The Black-Scholes option-pricing model incorporates various subjective assumptions, including expected terms and expected volatility. Assumptions used in the Black-Scholes option-pricing model for the estimated fair value were as follows: weighted-average risk-free rate of interest of 1.2%, expected volatility of 30%, weighted-average expected award life of 6.7 years and weighted-average fair value of $22.66.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exercised or forfeited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Stock option awards as of December 31, 2022 and 2021, are presented in the following table: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Stock Options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Number of Stock</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4"/>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Exercise Price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 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Term (years)</w:t>
            </w: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4"/>
              </w:rPr>
              <w:t>9 years</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Outstanding as of December 31, 2022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 as of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was no intrinsic value for options outstanding and exercisable at December 31, 2022.</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unrecognized compensation cost related to options of $18 million is anticipated to be recognized over a weighted-average period of approximately 3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Performance-Based Restricted Stock Units</w:t>
      </w:r>
    </w:p>
    <w:p>
      <w:pPr>
        <w:spacing w:after="0" w:line="25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grants RSUs and PRSUs to its key employees, officers and directors with various vesting requirements. The holders of the RSUs and PRSUs do not have the rights of a stockholder and do not have voting rights until the shares are issued and delivered in settlement of the awards. RSUs generally vest based on the passage of time (service conditions), typically four years, and PRSUs generally vest based on achieving certain predefined performance objectives. For PRSUs the number of shares may be increased to the maximum or reduced to the minimum threshold based on the results of these performance metrics in accordance with the terms established at the time of the award.</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2022, the Company granted PRSUs subject to market-based vesting conditions. The Company determines the fair value of PRSUs subject to market-based vesting conditions using a Monte Carlo simulation lattice model that incorporates the probability of the performance conditions being met as of the grant date. Assumptions used in the Monte Carlo simulation lattice model for the estimated fair value were as follows: weighted-average risk free rate of interest of 2.5% and expected volatility of the Company’s stock of 37%.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and PRSU award activity for the year ended December 31, 2022 is presented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PRSUs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w:t>
            </w: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6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 of PRSUs</w:t>
            </w:r>
          </w:p>
        </w:tc>
        <w:tc>
          <w:tcPr>
            <w:tcW w:w="18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RSUs</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and 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The number of RSUs and PRSUs vested includes common stock shares that the Company withheld on behalf of its employees to satisfy the minimum tax withholding.</w:t>
      </w:r>
    </w:p>
    <w:p>
      <w:pPr>
        <w:spacing w:after="0" w:line="2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total fair value of RSUs that vested during 2022 and 2021 was $30 million and $17 million, respectively. The total fair value of PRSUs that vested during 2022 was $5 million and was immaterial for 2021. As of December 31, 2022, unrecognized compensation cost related to RSUs and PRSUs of $58 million is anticipated to be recognized over a weighted-average period of approximately 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5" w:name="page66"/>
    <w:bookmarkEnd w:id="65"/>
    <w:p>
      <w:pPr>
        <w:ind w:right="9140" w:firstLine="8"/>
        <w:spacing w:after="0" w:line="601" w:lineRule="auto"/>
        <w:tabs>
          <w:tab w:leader="none" w:pos="27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Benefit Plan</w:t>
      </w:r>
    </w:p>
    <w:p>
      <w:pPr>
        <w:spacing w:after="0" w:line="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Prior to the Separation, certain eligible employees of XPO participated in XPO’s U.K. Retirement Plan which did not allow for new participants or additional benefit accruals. In connection with the Separation, the Company became the plan sponsor for the U.K. Retirement Plan. The majority of the plan assets transferred to the Company were fixed income securities including government bonds and debt instruments which are primarily classified as Level 2 in the fair value hierarchy. There are no unfunded commitments or redemption restrictions related to these investments. The Company also maintains defined benefit pension plans for some of its foreign subsidiaries that are excluded from the disclosures below due to their immateriality.</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determines the net periodic benefit costs using assumptions regarding the projected benefit obligation and the fair value of the plan assets as of the beginning of the year. Net periodic benefit cost is recorded within Other income, net in the Consolidated Statement of Operations. The Company calculates the funded status of the defined benefit pension plan as the difference between the projected benefit obligation and the fair value of the plan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Funded Status of Defined Benefit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projected benefit obligation of the plan was as follows: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Liabilities assumed from XPO</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370"/>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Actuarial gains were primarily a result of an increase in the discount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the plan assets was as follows:</w:t>
      </w:r>
    </w:p>
    <w:p>
      <w:pPr>
        <w:spacing w:after="0" w:line="4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Assets transferred from XPO</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Foreign currency exchange rate changes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Contributions by the employer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23"/>
        </w:trPr>
        <w:tc>
          <w:tcPr>
            <w:tcW w:w="802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Funded status of the plan assets at end of year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 Funded status is recorded within Other long-term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amounts included in AOCI that have not yet been recognized in net periodic benefit were as follows:</w:t>
      </w:r>
    </w:p>
    <w:p>
      <w:pPr>
        <w:spacing w:after="0" w:line="4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30"/>
              <w:spacing w:after="0" w:line="223" w:lineRule="exact"/>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23"/>
                <w:szCs w:val="23"/>
                <w:b w:val="1"/>
                <w:bCs w:val="1"/>
                <w:color w:val="auto"/>
                <w:vertAlign w:val="superscript"/>
              </w:rPr>
              <w:t>(1)</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Prior-service credit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amount recognized in AOCI</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 In connection with the Separation, $103 million of accumulated other comprehensive loss was transferred from XPO.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benefit cost recognized were as follows:</w:t>
      </w:r>
    </w:p>
    <w:p>
      <w:pPr>
        <w:spacing w:after="0" w:line="140"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980" w:type="dxa"/>
            <w:vAlign w:val="bottom"/>
            <w:gridSpan w:val="2"/>
          </w:tcPr>
          <w:p>
            <w:pPr>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cost component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3"/>
              </w:rPr>
              <w:t>(21)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3"/>
              </w:rPr>
              <w:t>(11)</w:t>
            </w:r>
          </w:p>
        </w:tc>
      </w:tr>
      <w:tr>
        <w:trPr>
          <w:trHeight w:val="229"/>
        </w:trPr>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Expected return on plan assets for the period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9"/>
              </w:rPr>
              <w:t>30</w:t>
            </w:r>
          </w:p>
        </w:tc>
      </w:tr>
      <w:tr>
        <w:trPr>
          <w:trHeight w:val="248"/>
        </w:trPr>
        <w:tc>
          <w:tcPr>
            <w:tcW w:w="79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Net benefit cost recognized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19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Net benefit cost is recorded within Other income,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amount recognized in other comprehensive income was as follows:</w:t>
      </w:r>
    </w:p>
    <w:p>
      <w:pPr>
        <w:spacing w:after="0" w:line="140"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4"/>
          </w:tcPr>
          <w:p>
            <w:pPr>
              <w:ind w:left="2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Actuarial gain (loss)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020" w:type="dxa"/>
            <w:vAlign w:val="bottom"/>
            <w:gridSpan w:val="4"/>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
        </w:trPr>
        <w:tc>
          <w:tcPr>
            <w:tcW w:w="7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47"/>
        </w:trPr>
        <w:tc>
          <w:tcPr>
            <w:tcW w:w="9680" w:type="dxa"/>
            <w:vAlign w:val="bottom"/>
            <w:gridSpan w:val="9"/>
          </w:tcPr>
          <w:p>
            <w:pPr>
              <w:spacing w:after="0"/>
              <w:rPr>
                <w:sz w:val="20"/>
                <w:szCs w:val="20"/>
                <w:color w:val="auto"/>
              </w:rPr>
            </w:pPr>
            <w:r>
              <w:rPr>
                <w:rFonts w:ascii="Arial" w:cs="Arial" w:eastAsia="Arial" w:hAnsi="Arial"/>
                <w:sz w:val="18"/>
                <w:szCs w:val="18"/>
                <w:color w:val="auto"/>
                <w:w w:val="94"/>
              </w:rPr>
              <w:t>The weighted-average assumptions used to determine the projected benefit obligation and the net periodic costs were as follows: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7"/>
        </w:trPr>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30"/>
        </w:trPr>
        <w:tc>
          <w:tcPr>
            <w:tcW w:w="8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assumptions used to determine benefit obligation at December 31:</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0"/>
        </w:trPr>
        <w:tc>
          <w:tcPr>
            <w:tcW w:w="8020" w:type="dxa"/>
            <w:vAlign w:val="bottom"/>
            <w:gridSpan w:val="4"/>
          </w:tcPr>
          <w:p>
            <w:pPr>
              <w:ind w:left="20"/>
              <w:spacing w:after="0"/>
              <w:rPr>
                <w:sz w:val="20"/>
                <w:szCs w:val="20"/>
                <w:color w:val="auto"/>
              </w:rPr>
            </w:pPr>
            <w:r>
              <w:rPr>
                <w:rFonts w:ascii="Arial" w:cs="Arial" w:eastAsia="Arial" w:hAnsi="Arial"/>
                <w:sz w:val="17"/>
                <w:szCs w:val="17"/>
                <w:color w:val="auto"/>
              </w:rPr>
              <w:t>Discount rate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1.82 %</w:t>
            </w:r>
          </w:p>
        </w:tc>
      </w:tr>
      <w:tr>
        <w:trPr>
          <w:trHeight w:val="230"/>
        </w:trPr>
        <w:tc>
          <w:tcPr>
            <w:tcW w:w="8020" w:type="dxa"/>
            <w:vAlign w:val="bottom"/>
            <w:gridSpan w:val="4"/>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Rate of compensation increase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 %</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8020" w:type="dxa"/>
            <w:vAlign w:val="bottom"/>
            <w:gridSpan w:val="4"/>
          </w:tcPr>
          <w:p>
            <w:pPr>
              <w:ind w:left="20"/>
              <w:spacing w:after="0"/>
              <w:rPr>
                <w:sz w:val="20"/>
                <w:szCs w:val="20"/>
                <w:color w:val="auto"/>
              </w:rPr>
            </w:pPr>
            <w:r>
              <w:rPr>
                <w:rFonts w:ascii="Arial" w:cs="Arial" w:eastAsia="Arial" w:hAnsi="Arial"/>
                <w:sz w:val="17"/>
                <w:szCs w:val="17"/>
                <w:b w:val="1"/>
                <w:bCs w:val="1"/>
                <w:color w:val="auto"/>
                <w:w w:val="96"/>
              </w:rPr>
              <w:t>Weighted average assumptions used to determine net periodic costs for the year ended December 31:</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80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230"/>
        </w:trPr>
        <w:tc>
          <w:tcPr>
            <w:tcW w:w="8020" w:type="dxa"/>
            <w:vAlign w:val="bottom"/>
            <w:gridSpan w:val="4"/>
          </w:tcPr>
          <w:p>
            <w:pPr>
              <w:ind w:left="20"/>
              <w:spacing w:after="0" w:line="229" w:lineRule="exact"/>
              <w:rPr>
                <w:sz w:val="20"/>
                <w:szCs w:val="20"/>
                <w:color w:val="auto"/>
              </w:rPr>
            </w:pPr>
            <w:r>
              <w:rPr>
                <w:rFonts w:ascii="Arial" w:cs="Arial" w:eastAsia="Arial" w:hAnsi="Arial"/>
                <w:sz w:val="17"/>
                <w:szCs w:val="17"/>
                <w:color w:val="auto"/>
              </w:rPr>
              <w:t xml:space="preserve">Rate of compensation increase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7"/>
                <w:szCs w:val="17"/>
                <w:color w:val="auto"/>
              </w:rPr>
              <w:t>—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0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Expected long-term rate of return on plan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No rate of compensation increase was assumed as the plans are frozen to additional participant benefit accruals.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U.K. Retirement Plan’s assets are separated from its assets and invested by a trustee, which include representatives of the Company, to meet the U.K. Retirement Plan’s projected future pension liabilities. The trustee’s investment objectives are to meet the performance target set in the deficit recovery plan of the U.K. Retirement Plan in a risk-controlled framework. The target strategic asset allocation for the U.K. Retirement Plan consists of approximately 40% matching assets (U.K. gilts and cash) and approximately 60% growth and income assets (consisting of a range of pooled funds investing in structured equities, investment-grade and high-yield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ind w:right="560"/>
        <w:spacing w:after="0" w:line="277" w:lineRule="auto"/>
        <w:rPr>
          <w:sz w:val="20"/>
          <w:szCs w:val="20"/>
          <w:color w:val="auto"/>
        </w:rPr>
      </w:pPr>
      <w:r>
        <w:rPr>
          <w:rFonts w:ascii="Arial" w:cs="Arial" w:eastAsia="Arial" w:hAnsi="Arial"/>
          <w:sz w:val="18"/>
          <w:szCs w:val="18"/>
          <w:color w:val="auto"/>
        </w:rPr>
        <w:t>and asset-backed securities). The target asset allocations of the U.K. Retirement Plan include acceptable ranges for each asset class. The actual asset allocations of the U.K. Retirement Plan are in line with the target asset allocations.</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Collateral assets consist of U.K. fixed-interest gilts, index-linked gilts and cash, which are used to back derivative positions that hedge the sensitivity of the liabilities to changes in interest rates and inflation. On the U.K. Retirement Plan Actuary’s Long Term funding basis, approximately 80% of the liability interest rate sensitivity and 80% of the liability inflation sensitivity were hedged as of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investments held in the pension plans by major asset category were as follows: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w:t>
            </w: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6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Government Securities</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Derivatives</w:t>
            </w:r>
          </w:p>
        </w:tc>
        <w:tc>
          <w:tcPr>
            <w:tcW w:w="16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4"/>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in fair value hierarchy</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2"/>
            <w:vMerge w:val="restart"/>
          </w:tcPr>
          <w:p>
            <w:pPr>
              <w:ind w:left="20"/>
              <w:spacing w:after="0" w:line="230" w:lineRule="exact"/>
              <w:rPr>
                <w:sz w:val="20"/>
                <w:szCs w:val="20"/>
                <w:color w:val="auto"/>
              </w:rPr>
            </w:pPr>
            <w:r>
              <w:rPr>
                <w:rFonts w:ascii="Arial" w:cs="Arial" w:eastAsia="Arial" w:hAnsi="Arial"/>
                <w:sz w:val="18"/>
                <w:szCs w:val="18"/>
                <w:color w:val="auto"/>
              </w:rPr>
              <w:t xml:space="preserve">Commingled funds </w:t>
            </w:r>
            <w:r>
              <w:rPr>
                <w:rFonts w:ascii="Arial" w:cs="Arial" w:eastAsia="Arial" w:hAnsi="Arial"/>
                <w:sz w:val="23"/>
                <w:szCs w:val="23"/>
                <w:color w:val="auto"/>
                <w:vertAlign w:val="superscript"/>
              </w:rPr>
              <w:t>(1)</w:t>
            </w: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gridSpan w:val="2"/>
            <w:vMerge w:val="continue"/>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Derivatives </w:t>
            </w:r>
            <w:r>
              <w:rPr>
                <w:rFonts w:ascii="Arial" w:cs="Arial" w:eastAsia="Arial" w:hAnsi="Arial"/>
                <w:sz w:val="23"/>
                <w:szCs w:val="23"/>
                <w:color w:val="auto"/>
                <w:vertAlign w:val="superscript"/>
              </w:rPr>
              <w:t>(1)</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9"/>
        </w:trPr>
        <w:tc>
          <w:tcPr>
            <w:tcW w:w="63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60" w:firstLine="8"/>
        <w:spacing w:after="0" w:line="334" w:lineRule="auto"/>
        <w:tabs>
          <w:tab w:leader="none" w:pos="2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 payments for the defined benefit pension plan are summarized below. These estimates are based on assumptions about future events.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benefit payments may vary from these estimates.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2028-2031</w:t>
            </w: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payment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funding practice is to evaluate the tax and cash position, and the funded status of the plan, in determining the planned contributions. The Company estimates that it will contribute approximately $1 million to the U.K. Retirement Plan in 2023 but this could change based on variations in interest rates, asset returns and other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sponsors a defined contribution plan that is available to employees whose primary place of employment is in the U.S. The Company matches up to 4% of employees’ pre-tax contributions, after completing one year of service. The Company’s costs for the defined contribution plan were $17 million, $16 million and $14 million for the years ended December 31, 2022, 2021 and 2020, respectively, and were primarily included in Direct operating expenses.</w:t>
      </w:r>
    </w:p>
    <w:p>
      <w:pPr>
        <w:spacing w:after="0" w:line="21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Company also has various defined contribution plans for its international employees. The Company’s contributions to these benefit plans were $37 million, $29 million and $15 million for the years ended December 31, 2022, 2021 and 2020, respectively, and were primarily included in Direct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16. Restructuring Charges and 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engages in restructuring actions as part of its ongoing efforts to best use its resources and infrastructure. These actions generally include severance and facility-related costs, including impairment of operating lease assets, and are intended to improve efficiency and profitability.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liability rollforward, which is included in Other current liabilities in the Consolidated Balance Sheets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8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Charges incurred </w:t>
            </w:r>
            <w:r>
              <w:rPr>
                <w:rFonts w:ascii="Arial" w:cs="Arial" w:eastAsia="Arial" w:hAnsi="Arial"/>
                <w:sz w:val="23"/>
                <w:szCs w:val="23"/>
                <w:color w:val="auto"/>
                <w:vertAlign w:val="superscript"/>
              </w:rPr>
              <w:t>(1)</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 Charges incurred are net of adjustments to previously recognized liabilities.</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remaining restructuring liability at December 31, 2022 primarily relates to severance payments and is expected to be substantially paid within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2022, the Company deconsolidated a 50% owned joint venture. The deconsolidation resulted in an $8 million charge recorded in the first quarter of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periods ended before the Separation, the Company was a member of the XPO consolidated group, and its U.S. taxable income was included in XPO’s consolidated U.S. federal income tax return as well as in the tax returns filed by XPO with certain state and local taxing jurisdictions. For the periods ended after the Separation, the Company has filed and will file a consolidated U.S. federal income tax return as well as state and local income tax returns. The Company’s foreign income tax returns are filed on a full-year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 related to the Company’s domestic and foreign operations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3"/>
              </w:rPr>
              <w:t>(25)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components of income tax expense (benefit) for 2022, 2021 and 2020 are presented in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state and local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U.S state and local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 income tax benefit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(benefit) for 2022, 2021, and 2020 varied from the amount computed by applying the statutory income tax rate to income (loss) before income taxes. The Company’s U.S. federal statutory tax rate was 21% for 2022, 2021 and 2020. A reconciliation of the expected U.S. federal income tax expense (benefit), calculated by applying the federal statutory rate to the Company’s actual income tax expense (benefit) for 2022, 2021 and 2020 is presented in the following table: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expense at U.S. federal statutory tax rate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State taxes, net of U.S. federal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Foreign operations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Contribution- and margin-based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Valuation allowances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prior period unrecognized tax benefits, including interest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Transaction costs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income tax expense (benefit)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right="180" w:firstLine="8"/>
        <w:spacing w:after="0" w:line="266"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and permanent items related to foreign operations.</w:t>
      </w:r>
    </w:p>
    <w:p>
      <w:pPr>
        <w:ind w:right="460" w:firstLine="8"/>
        <w:spacing w:after="0" w:line="283"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recorded a positive one-time adjustment as a result of agreements by GXO’s non-U.S. affiliates to license the rights to use trademarks, trade names and other intellectual property related to the GXO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deferred tax liabilities at December 31, 2022 and 2021 are presented in the following table:</w:t>
      </w:r>
    </w:p>
    <w:p>
      <w:pPr>
        <w:spacing w:after="0" w:line="85"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Net operating loss and other tax attribute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deferred tax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Pension and other retirement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 and deferred tax liability above are reflected in the Consolidated Balance Sheets as follows: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48</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3"/>
              </w:rPr>
              <w:t>(71)</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3"/>
              </w:rPr>
              <w:t>(23)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December 31, 2022, the Company maintained a partial assertion for all post 2017 undistributed historical earnings and record a deferred tax liability for historical earnings that are not considered to be permanently reinvested. The Company asserts indefinite reversal exception for not recording deferred taxes resulting from the Clipper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loss and tax credit carryforwards were as follows:</w:t>
      </w:r>
    </w:p>
    <w:p>
      <w:pPr>
        <w:spacing w:after="0" w:line="46" w:lineRule="exact"/>
        <w:rPr>
          <w:sz w:val="20"/>
          <w:szCs w:val="20"/>
          <w:color w:val="auto"/>
        </w:rPr>
      </w:pPr>
    </w:p>
    <w:p>
      <w:pPr>
        <w:jc w:val="right"/>
        <w:ind w:right="1080"/>
        <w:spacing w:after="0"/>
        <w:rPr>
          <w:sz w:val="20"/>
          <w:szCs w:val="20"/>
          <w:color w:val="auto"/>
        </w:rPr>
      </w:pPr>
      <w:r>
        <w:rPr>
          <w:rFonts w:ascii="Arial" w:cs="Arial" w:eastAsia="Arial" w:hAnsi="Arial"/>
          <w:sz w:val="18"/>
          <w:szCs w:val="18"/>
          <w:b w:val="1"/>
          <w:bCs w:val="1"/>
          <w:color w:val="auto"/>
        </w:rPr>
        <w:t>December 31,</w:t>
      </w:r>
    </w:p>
    <w:p>
      <w:pPr>
        <w:sectPr>
          <w:pgSz w:w="11900" w:h="16838" w:orient="portrait"/>
          <w:cols w:equalWidth="0" w:num="1">
            <w:col w:w="11240"/>
          </w:cols>
          <w:pgMar w:left="320" w:top="1421"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net operating losses for all U.S. operations</w:t>
      </w:r>
    </w:p>
    <w:p>
      <w:pPr>
        <w:spacing w:after="0" w:line="144" w:lineRule="exact"/>
        <w:rPr>
          <w:sz w:val="20"/>
          <w:szCs w:val="20"/>
          <w:color w:val="auto"/>
        </w:rPr>
      </w:pPr>
    </w:p>
    <w:p>
      <w:pPr>
        <w:ind w:left="20" w:right="400"/>
        <w:spacing w:after="0" w:line="261" w:lineRule="auto"/>
        <w:rPr>
          <w:sz w:val="20"/>
          <w:szCs w:val="20"/>
          <w:color w:val="auto"/>
        </w:rPr>
      </w:pPr>
      <w:r>
        <w:rPr>
          <w:rFonts w:ascii="Arial" w:cs="Arial" w:eastAsia="Arial" w:hAnsi="Arial"/>
          <w:sz w:val="18"/>
          <w:szCs w:val="18"/>
          <w:color w:val="auto"/>
        </w:rPr>
        <w:t>Tax effect (before federal benefit) of state net operating losses</w:t>
      </w:r>
    </w:p>
    <w:p>
      <w:pPr>
        <w:spacing w:after="0" w:line="103" w:lineRule="exact"/>
        <w:rPr>
          <w:sz w:val="20"/>
          <w:szCs w:val="20"/>
          <w:color w:val="auto"/>
        </w:rPr>
      </w:pPr>
    </w:p>
    <w:p>
      <w:pPr>
        <w:ind w:left="20" w:right="2080"/>
        <w:spacing w:after="0" w:line="466" w:lineRule="auto"/>
        <w:rPr>
          <w:sz w:val="20"/>
          <w:szCs w:val="20"/>
          <w:color w:val="auto"/>
        </w:rPr>
      </w:pPr>
      <w:r>
        <w:rPr>
          <w:rFonts w:ascii="Arial" w:cs="Arial" w:eastAsia="Arial" w:hAnsi="Arial"/>
          <w:sz w:val="16"/>
          <w:szCs w:val="16"/>
          <w:color w:val="auto"/>
        </w:rPr>
        <w:t>Federal tax credit carryforwards State tax credit carryforwards</w:t>
      </w:r>
    </w:p>
    <w:p>
      <w:pPr>
        <w:spacing w:after="0" w:line="1"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Foreign net operating losses available to offset future taxable income</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(1) Some credits and losses have unlimited carryforward periods.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20" w:type="dxa"/>
            <w:vAlign w:val="bottom"/>
            <w:gridSpan w:val="2"/>
          </w:tcPr>
          <w:p>
            <w:pPr>
              <w:jc w:val="center"/>
              <w:ind w:right="100"/>
              <w:spacing w:after="0" w:line="223" w:lineRule="exact"/>
              <w:rPr>
                <w:sz w:val="20"/>
                <w:szCs w:val="20"/>
                <w:color w:val="auto"/>
              </w:rPr>
            </w:pPr>
            <w:r>
              <w:rPr>
                <w:rFonts w:ascii="Arial" w:cs="Arial" w:eastAsia="Arial" w:hAnsi="Arial"/>
                <w:sz w:val="18"/>
                <w:szCs w:val="18"/>
                <w:b w:val="1"/>
                <w:bCs w:val="1"/>
                <w:color w:val="auto"/>
                <w:w w:val="89"/>
              </w:rPr>
              <w:t xml:space="preserve">Expiration Date </w:t>
            </w:r>
            <w:r>
              <w:rPr>
                <w:rFonts w:ascii="Arial" w:cs="Arial" w:eastAsia="Arial" w:hAnsi="Arial"/>
                <w:sz w:val="23"/>
                <w:szCs w:val="23"/>
                <w:b w:val="1"/>
                <w:bCs w:val="1"/>
                <w:color w:val="auto"/>
                <w:w w:val="89"/>
                <w:vertAlign w:val="superscript"/>
              </w:rPr>
              <w:t>(1)</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344"/>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2033</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553"/>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2027</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51"/>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2032</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2023</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53"/>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2023</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-805180</wp:posOffset>
            </wp:positionV>
            <wp:extent cx="713232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-350520</wp:posOffset>
            </wp:positionV>
            <wp:extent cx="7132320" cy="351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-1388110</wp:posOffset>
            </wp:positionV>
            <wp:extent cx="7132320" cy="2311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490" w:lineRule="exact"/>
        <w:rPr>
          <w:sz w:val="20"/>
          <w:szCs w:val="20"/>
          <w:color w:val="auto"/>
        </w:rPr>
      </w:pPr>
    </w:p>
    <w:p>
      <w:pPr>
        <w:sectPr>
          <w:pgSz w:w="11900" w:h="16838" w:orient="portrait"/>
          <w:cols w:equalWidth="0" w:num="2">
            <w:col w:w="4420" w:space="180"/>
            <w:col w:w="6640"/>
          </w:cols>
          <w:pgMar w:left="320" w:top="14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Allowances</w:t>
      </w:r>
    </w:p>
    <w:p>
      <w:pPr>
        <w:spacing w:after="0" w:line="25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established valuation allowances for some of its deferred tax assets, as it is more likely than not that these assets will not be realized in the foreseeable future. The Company concluded that the remaining deferred tax assets will more likely than not be realized, though this is not assured, and as such no valuation allowances have been provided on these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activity related to the Company’s valuation allowances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Beginning Balance</w:t>
            </w: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w w:val="96"/>
              </w:rPr>
              <w:t>Additions</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Reductions </w:t>
            </w:r>
            <w:r>
              <w:rPr>
                <w:rFonts w:ascii="Arial" w:cs="Arial" w:eastAsia="Arial" w:hAnsi="Arial"/>
                <w:sz w:val="23"/>
                <w:szCs w:val="23"/>
                <w:b w:val="1"/>
                <w:bCs w:val="1"/>
                <w:color w:val="auto"/>
                <w:vertAlign w:val="superscript"/>
              </w:rPr>
              <w:t>(1)</w:t>
            </w:r>
          </w:p>
        </w:tc>
        <w:tc>
          <w:tcPr>
            <w:tcW w:w="140" w:type="dxa"/>
            <w:vAlign w:val="bottom"/>
          </w:tcPr>
          <w:p>
            <w:pPr>
              <w:spacing w:after="0"/>
              <w:rPr>
                <w:sz w:val="23"/>
                <w:szCs w:val="23"/>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Ending Balance</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157" w:lineRule="exact"/>
        <w:rPr>
          <w:sz w:val="20"/>
          <w:szCs w:val="20"/>
          <w:color w:val="auto"/>
        </w:rPr>
      </w:pPr>
    </w:p>
    <w:p>
      <w:pPr>
        <w:ind w:right="580" w:firstLine="8"/>
        <w:spacing w:after="0" w:line="293"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2021, due to the Separation, $29 million decrease in valuation allowances was recorded as the corresponding tax attributes reported by the Company on a combined basis were not transferred to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unrecognized tax benefits balance to the ending balance is presented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6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79"/>
              </w:rPr>
              <w:t>3</w:t>
            </w:r>
          </w:p>
        </w:tc>
      </w:tr>
      <w:tr>
        <w:trPr>
          <w:trHeight w:val="27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Increases related to positions taken during prior years</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center"/>
              <w:ind w:left="870"/>
              <w:spacing w:after="0"/>
              <w:rPr>
                <w:sz w:val="20"/>
                <w:szCs w:val="20"/>
                <w:color w:val="auto"/>
              </w:rPr>
            </w:pPr>
            <w:r>
              <w:rPr>
                <w:rFonts w:ascii="Arial" w:cs="Arial" w:eastAsia="Arial" w:hAnsi="Arial"/>
                <w:sz w:val="18"/>
                <w:szCs w:val="18"/>
                <w:color w:val="auto"/>
                <w:w w:val="79"/>
              </w:rPr>
              <w:t>1</w:t>
            </w:r>
          </w:p>
        </w:tc>
      </w:tr>
      <w:tr>
        <w:trPr>
          <w:trHeight w:val="27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due to expiration of statutes of limitations</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9"/>
              </w:rPr>
              <w:t>(1)</w:t>
            </w:r>
          </w:p>
        </w:tc>
      </w:tr>
      <w:tr>
        <w:trPr>
          <w:trHeight w:val="25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870"/>
              <w:spacing w:after="0"/>
              <w:rPr>
                <w:sz w:val="20"/>
                <w:szCs w:val="20"/>
                <w:color w:val="auto"/>
              </w:rPr>
            </w:pPr>
            <w:r>
              <w:rPr>
                <w:rFonts w:ascii="Arial" w:cs="Arial" w:eastAsia="Arial" w:hAnsi="Arial"/>
                <w:sz w:val="18"/>
                <w:szCs w:val="18"/>
                <w:color w:val="auto"/>
                <w:w w:val="79"/>
              </w:rPr>
              <w:t>3</w:t>
            </w:r>
          </w:p>
        </w:tc>
      </w:tr>
      <w:tr>
        <w:trPr>
          <w:trHeight w:val="27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penalties</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79"/>
              </w:rPr>
              <w:t>1</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unrecognized tax benefits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center"/>
              <w:ind w:left="870"/>
              <w:spacing w:after="0"/>
              <w:rPr>
                <w:sz w:val="20"/>
                <w:szCs w:val="20"/>
                <w:color w:val="auto"/>
              </w:rPr>
            </w:pPr>
            <w:r>
              <w:rPr>
                <w:rFonts w:ascii="Arial" w:cs="Arial" w:eastAsia="Arial" w:hAnsi="Arial"/>
                <w:sz w:val="18"/>
                <w:szCs w:val="18"/>
                <w:color w:val="auto"/>
                <w:w w:val="79"/>
              </w:rPr>
              <w:t>4</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w w:val="93"/>
              </w:rPr>
              <w:t>Total unrecognized tax benefits that, if recognized, would impact the effective income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57"/>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rate as of the end of the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79"/>
              </w:rPr>
              <w:t>3</w:t>
            </w:r>
          </w:p>
        </w:tc>
      </w:tr>
    </w:tbl>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could reflect a reduction to unrecognized tax benefits of approximately $3 million over the next 12 months due to statutes of limitations expirations or because tax positions are sustained on audit.</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72" w:name="page73"/>
    <w:bookmarkEnd w:id="72"/>
    <w:p>
      <w:pPr>
        <w:ind w:right="460"/>
        <w:spacing w:after="0" w:line="263" w:lineRule="auto"/>
        <w:rPr>
          <w:sz w:val="20"/>
          <w:szCs w:val="20"/>
          <w:color w:val="auto"/>
        </w:rPr>
      </w:pPr>
      <w:r>
        <w:rPr>
          <w:rFonts w:ascii="Arial" w:cs="Arial" w:eastAsia="Arial" w:hAnsi="Arial"/>
          <w:sz w:val="18"/>
          <w:szCs w:val="18"/>
          <w:color w:val="auto"/>
        </w:rPr>
        <w:t>The Company is subject to taxation in the U.S. and various states and in foreign jurisdictions. As of December 31, 2022, the Company is not under examination by the IRS or U.S. state and local taxing authorities. Various non-U.S. tax returns for years after 2009 are open under relevant statutes of limitations and are subject to audit.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is involved, and will continue to be involved, in numerous legal proceedings arising out of the conduct of its business. These proceedings may include personal injury claims arising from the transportation and handling of goods, contractual disputes and employment-related claims, including alleged violations of wage and hour laws.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Management believes that it has adequately accrued for the potential impact of loss contingencies that are probable and reasonably estimable. Management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 financial condition, results of operations or cash flows. Legal costs incurred related to these matters are expensed as incurred.</w:t>
      </w:r>
    </w:p>
    <w:p>
      <w:pPr>
        <w:spacing w:after="0" w:line="21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December 31, 2022. Based on that evaluation, our CEO and CFO concluded that our disclosure controls and procedures as of December 31, 2022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and 15d-15 under the Securities Exchange Act of 1934, as amended. Under the supervision and with the participation of our management, including our CEO and CFO, we evaluated the effectiveness of our internal control over financial reporting as of December 31, 2022, based on the “Internal Control - Integrated Framework” (2013 framework) issued by the Committee of Sponsoring Organizations of the Treadway Commission. Based on our evaluation, we concluded that our internal control over financial reporting was effective as of December 31, 2022.</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excluded from its design and assessment of internal control over financial reporting Clipper Logistics plc which was acquired on May 24, 2022. Clipper Logistics plc constituted approximately 6% of our total assets, excluding associated goodwill and intangible assets, and approximately 6% of our consolidated revenues as of and for the year ended December 31, 2022. Companies are allowed to exclude acquisitions from their assessment of internal control over financial reporting during the first year of acquisition while integrating the acquired company under guidelines established by the SEC.</w:t>
      </w:r>
    </w:p>
    <w:p>
      <w:pPr>
        <w:spacing w:after="0" w:line="21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December 31, 2022,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information required by Item 10 of Part III of Form 10-K (other than certain information required by Item 401 of Regulation S-K with respect to our executive officers, which is provided under Item 1 of Part I of this Annual Report) will be set forth in our definitive Proxy Statement for the 2023 Annual Meeting of Stockholders (the “Proxy Statement”) and is incorporated herein by reference. The Proxy Statement, or an amendment to this Annual Report containing the information, will be filed with the SEC on or before May 1, 2023.</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adopted a Code of Business Ethics (the “Code of Ethics”), which is applicable to our principal executive officer, principal financial officer, principal accounting officer and other senior officers. The Code of Ethics is available on our website at www.ethics.gxo.com. In the event that we amend or waive any of the provisions of the Code of Ethics that relate to any element of the code of ethics definition enumerated in Item 406(b) of Regulation S-K, we intend to disclose the same on our website at the web address specified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11 of Part III of Form 10-K will be set forth in our Proxy Statement for the 2023 Annual Meeting of Stockholders and is incorporated herein by reference. The Proxy Statement, or an amendment to this Annual Report containing the information will be filed with the SEC on or before May 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2023 Annual Meeting of Stockholders and is incorporated herein by reference. The Proxy Statement, or an amendment to this Annual Report containing the information will be filed with the SEC on or before May 1,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information required by Item 13 of Part III of Form 10-K will be set forth in our Proxy Statement for the 2023 Annual Meeting of Stockholders and is incorporated herein by reference. The Proxy Statement, or an amendment to this Annual Report containing the information, will be filed with the SEC on or before May 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KPMG LLP, Stamford, CT, Auditor Firm ID: 185.</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14 of Part III of Form 10-K will be set forth in our Proxy Statement for the 2023 Annual Meeting of Stockholders and is incorporated herein by reference. The Proxy Statement, or an amendment to this Annual Report containing the information will be filed with the SEC on or before May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list of Consolidated Financial Statements provided in the Index to Consolidated Financial Statements is incorporated herein by reference. Such Consolidated Financial Statements are filed as part of this Annual Report on Form 10-K. All financial statement schedules are omitted because the required information is not applicable, or because the information required is included in the Consolidated Financial Statements and notes thereto.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20" w:type="dxa"/>
            <w:vAlign w:val="bottom"/>
            <w:gridSpan w:val="28"/>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2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40" w:type="dxa"/>
            <w:vAlign w:val="bottom"/>
            <w:tcBorders>
              <w:top w:val="single" w:sz="8" w:color="auto"/>
            </w:tcBorders>
            <w:gridSpan w:val="36"/>
          </w:tcPr>
          <w:p>
            <w:pPr>
              <w:spacing w:after="0" w:line="182"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Separation and Distribution Agreement by and between XPO Logistics, Inc. and GXO Logistics, Inc., dated as of August 1, 2021</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(incorporated by reference to Exhibit 2.1 of the Company’s Current Report on Form 8-K (Commission file no. 001-40470) filed</w:t>
              </w:r>
            </w:hyperlink>
          </w:p>
        </w:tc>
        <w:tc>
          <w:tcPr>
            <w:tcW w:w="620" w:type="dxa"/>
            <w:vAlign w:val="bottom"/>
            <w:gridSpan w:val="17"/>
          </w:tcPr>
          <w:p>
            <w:pPr>
              <w:spacing w:after="0" w:line="156" w:lineRule="exact"/>
              <w:rPr>
                <w:rFonts w:ascii="Arial" w:cs="Arial" w:eastAsia="Arial" w:hAnsi="Arial"/>
                <w:sz w:val="18"/>
                <w:szCs w:val="18"/>
                <w:color w:val="0000FF"/>
                <w:w w:val="96"/>
              </w:rPr>
            </w:pPr>
            <w:hyperlink r:id="rId113">
              <w:r>
                <w:rPr>
                  <w:rFonts w:ascii="Arial" w:cs="Arial" w:eastAsia="Arial" w:hAnsi="Arial"/>
                  <w:sz w:val="18"/>
                  <w:szCs w:val="18"/>
                  <w:color w:val="0000FF"/>
                  <w:w w:val="96"/>
                </w:rPr>
                <w:t>with the</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SEC on August 2, 2021).</w:t>
              </w:r>
            </w:hyperlink>
          </w:p>
        </w:tc>
        <w:tc>
          <w:tcPr>
            <w:tcW w:w="806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Recommended cash and share acquisition of Clipper Logistics PLC by GXO Logistics, Inc., dated as of February 28, 2022 (incorporated</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4"/>
          </w:tcPr>
          <w:p>
            <w:pPr>
              <w:spacing w:after="0" w:line="156"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by reference to Exhibit 2.1 of the Company’s Current Report on Form 8-K (Commission file no. 001-40470)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March 1,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Arial" w:cs="Arial" w:eastAsia="Arial" w:hAnsi="Arial"/>
                <w:sz w:val="18"/>
                <w:szCs w:val="18"/>
                <w:color w:val="0000FF"/>
                <w:w w:val="98"/>
              </w:rPr>
            </w:pPr>
            <w:hyperlink r:id="rId115">
              <w:r>
                <w:rPr>
                  <w:rFonts w:ascii="Arial" w:cs="Arial" w:eastAsia="Arial" w:hAnsi="Arial"/>
                  <w:sz w:val="18"/>
                  <w:szCs w:val="18"/>
                  <w:color w:val="0000FF"/>
                  <w:w w:val="98"/>
                </w:rPr>
                <w:t>Cooperation Agreement between GXO Logistics, Inc. and Clipper Logistics PLC (incorporated by reference to Exhibit 2.2 of the</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Company’s Current Report on Form 8-K (Commission file no. 001-40470) filed with the SEC on March 1, 2022).</w:t>
              </w:r>
            </w:hyperlink>
          </w:p>
        </w:tc>
        <w:tc>
          <w:tcPr>
            <w:tcW w:w="110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Arial" w:cs="Arial" w:eastAsia="Arial" w:hAnsi="Arial"/>
                <w:sz w:val="18"/>
                <w:szCs w:val="18"/>
                <w:color w:val="0000FF"/>
                <w:w w:val="94"/>
              </w:rPr>
            </w:pPr>
            <w:hyperlink r:id="rId116">
              <w:r>
                <w:rPr>
                  <w:rFonts w:ascii="Arial" w:cs="Arial" w:eastAsia="Arial" w:hAnsi="Arial"/>
                  <w:sz w:val="18"/>
                  <w:szCs w:val="18"/>
                  <w:color w:val="0000FF"/>
                  <w:w w:val="94"/>
                </w:rPr>
                <w:t>Amended and Restated Certificate of Incorporation of GXO Logistics, Inc. (incorporated by reference to Exhibit 3.1 of the Company’s</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Current Report on Form 8-K (Commission file no. 001-40470) filed with the SEC on August 2, 2021).</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Arial" w:cs="Arial" w:eastAsia="Arial" w:hAnsi="Arial"/>
                <w:sz w:val="18"/>
                <w:szCs w:val="18"/>
                <w:color w:val="0000FF"/>
                <w:w w:val="96"/>
              </w:rPr>
            </w:pPr>
            <w:hyperlink r:id="rId117">
              <w:r>
                <w:rPr>
                  <w:rFonts w:ascii="Arial" w:cs="Arial" w:eastAsia="Arial" w:hAnsi="Arial"/>
                  <w:sz w:val="18"/>
                  <w:szCs w:val="18"/>
                  <w:color w:val="0000FF"/>
                  <w:w w:val="96"/>
                </w:rPr>
                <w:t>Second Amended and Restated Bylaws of GXO Logistics, Inc. (incorporated by reference to Exhibit 3.2 of the Company’s Current</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Report on Form 8-K (Commission file no. 001-40470) filed with the SEC on August 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Indenture, dated as of July 2, 2021, among GXO Logistics, Inc. and Wells Fargo Bank National Association, as Trustee (incorporated by</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31"/>
          </w:tcPr>
          <w:p>
            <w:pPr>
              <w:spacing w:after="0" w:line="156"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reference to Exhibit 4.1 to the Company’s Amendment No. 3 to the Registration Statement on Form 10 (Commission file no. 001-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40470) filed with the SEC on July 7, 2021).</w:t>
              </w:r>
            </w:hyperlink>
          </w:p>
        </w:tc>
        <w:tc>
          <w:tcPr>
            <w:tcW w:w="6200" w:type="dxa"/>
            <w:vAlign w:val="bottom"/>
            <w:tcBorders>
              <w:top w:val="single" w:sz="8" w:color="0000FF"/>
            </w:tcBorders>
            <w:gridSpan w:val="13"/>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Arial" w:cs="Arial" w:eastAsia="Arial" w:hAnsi="Arial"/>
                <w:sz w:val="18"/>
                <w:szCs w:val="18"/>
                <w:color w:val="0000FF"/>
                <w:w w:val="95"/>
              </w:rPr>
            </w:pPr>
            <w:hyperlink r:id="rId119">
              <w:r>
                <w:rPr>
                  <w:rFonts w:ascii="Arial" w:cs="Arial" w:eastAsia="Arial" w:hAnsi="Arial"/>
                  <w:sz w:val="18"/>
                  <w:szCs w:val="18"/>
                  <w:color w:val="0000FF"/>
                  <w:w w:val="95"/>
                </w:rPr>
                <w:t>First Supplemental Indenture, dated as of July 2,2021, among GXO Logistics, Inc. and Wells Fargo Bank, National Association, as</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Trustee (incorporated by reference to Exhibit 4.2 to the Company’s Amendment No. 3 to the Registration Statement on Form 10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(Commission file no. 001-40470) filed with the SEC on July 7, 2021).</w:t>
              </w:r>
            </w:hyperlink>
          </w:p>
        </w:tc>
        <w:tc>
          <w:tcPr>
            <w:tcW w:w="418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Registration Rights Agreement by and among Jacobs Private Equity, LLC and GXO Logistics, Inc., dated as of September 29, 2021</w:t>
              </w:r>
            </w:hyperlink>
          </w:p>
        </w:tc>
      </w:tr>
      <w:tr>
        <w:trPr>
          <w:trHeight w:val="18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tcBorders>
              <w:top w:val="single" w:sz="8" w:color="0000FF"/>
            </w:tcBorders>
            <w:gridSpan w:val="25"/>
          </w:tcPr>
          <w:p>
            <w:pPr>
              <w:spacing w:after="0" w:line="182"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(incorporated by reference to Exhibit 4.1 to the Company’s Current Report on Form 8-K (Commission file no. 001-40470) filed with</w:t>
              </w:r>
            </w:hyperlink>
          </w:p>
        </w:tc>
        <w:tc>
          <w:tcPr>
            <w:tcW w:w="20" w:type="dxa"/>
            <w:vAlign w:val="bottom"/>
          </w:tcPr>
          <w:p>
            <w:pPr>
              <w:spacing w:after="0"/>
              <w:rPr>
                <w:sz w:val="15"/>
                <w:szCs w:val="15"/>
                <w:color w:val="auto"/>
              </w:rPr>
            </w:pPr>
          </w:p>
        </w:tc>
        <w:tc>
          <w:tcPr>
            <w:tcW w:w="420" w:type="dxa"/>
            <w:vAlign w:val="bottom"/>
            <w:gridSpan w:val="10"/>
          </w:tcPr>
          <w:p>
            <w:pPr>
              <w:ind w:left="80"/>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the</w:t>
              </w:r>
            </w:hyperlink>
          </w:p>
        </w:tc>
      </w:tr>
      <w:tr>
        <w:trPr>
          <w:trHeight w:val="18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SEC on October 1, 2021).</w:t>
              </w:r>
            </w:hyperlink>
          </w:p>
        </w:tc>
        <w:tc>
          <w:tcPr>
            <w:tcW w:w="7940" w:type="dxa"/>
            <w:vAlign w:val="bottom"/>
            <w:tcBorders>
              <w:top w:val="single" w:sz="8" w:color="0000FF"/>
            </w:tcBorders>
            <w:gridSpan w:val="2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6"/>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Description of Securities (incorporated by reference to Exhibit 4.5 of the Company’s Annual Report on Form 10-K (Commission file no.</w:t>
              </w:r>
            </w:hyperlink>
          </w:p>
        </w:tc>
      </w:tr>
      <w:tr>
        <w:trPr>
          <w:trHeight w:val="18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001-40470) filed with the SEC on February 17, 2022).</w:t>
              </w:r>
            </w:hyperlink>
          </w:p>
        </w:tc>
        <w:tc>
          <w:tcPr>
            <w:tcW w:w="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6"/>
          </w:tcPr>
          <w:p>
            <w:pPr>
              <w:spacing w:after="0"/>
              <w:rPr>
                <w:rFonts w:ascii="Arial" w:cs="Arial" w:eastAsia="Arial" w:hAnsi="Arial"/>
                <w:sz w:val="18"/>
                <w:szCs w:val="18"/>
                <w:color w:val="0000FF"/>
                <w:w w:val="96"/>
              </w:rPr>
            </w:pPr>
            <w:hyperlink r:id="rId122">
              <w:r>
                <w:rPr>
                  <w:rFonts w:ascii="Arial" w:cs="Arial" w:eastAsia="Arial" w:hAnsi="Arial"/>
                  <w:sz w:val="18"/>
                  <w:szCs w:val="18"/>
                  <w:color w:val="0000FF"/>
                  <w:w w:val="96"/>
                </w:rPr>
                <w:t>Tax Matters Agreement by and between XPO Logistics, Inc. and GXO Logistics, Inc., dated as of August 1, 2021 (incorporated by</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reference to Exhibit 10.2 of the Company’s Current Report on Form 8-K (Commission file no. 001-40470) filed with the SEC on</w:t>
              </w:r>
            </w:hyperlink>
          </w:p>
        </w:tc>
        <w:tc>
          <w:tcPr>
            <w:tcW w:w="500" w:type="dxa"/>
            <w:vAlign w:val="bottom"/>
            <w:tcBorders>
              <w:bottom w:val="single" w:sz="8" w:color="0000FF"/>
            </w:tcBorders>
            <w:gridSpan w:val="14"/>
          </w:tcPr>
          <w:p>
            <w:pPr>
              <w:spacing w:after="0" w:line="156" w:lineRule="exact"/>
              <w:rPr>
                <w:rFonts w:ascii="Arial" w:cs="Arial" w:eastAsia="Arial" w:hAnsi="Arial"/>
                <w:sz w:val="18"/>
                <w:szCs w:val="18"/>
                <w:color w:val="0000FF"/>
                <w:w w:val="85"/>
              </w:rPr>
            </w:pPr>
            <w:hyperlink r:id="rId122">
              <w:r>
                <w:rPr>
                  <w:rFonts w:ascii="Arial" w:cs="Arial" w:eastAsia="Arial" w:hAnsi="Arial"/>
                  <w:sz w:val="18"/>
                  <w:szCs w:val="18"/>
                  <w:color w:val="0000FF"/>
                  <w:w w:val="85"/>
                </w:rPr>
                <w:t>August</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0000FF"/>
            </w:tcBorders>
          </w:tcPr>
          <w:p>
            <w:pPr>
              <w:spacing w:after="0" w:line="169" w:lineRule="exact"/>
              <w:rPr>
                <w:rFonts w:ascii="Arial" w:cs="Arial" w:eastAsia="Arial" w:hAnsi="Arial"/>
                <w:sz w:val="18"/>
                <w:szCs w:val="18"/>
                <w:color w:val="0000FF"/>
                <w:w w:val="87"/>
              </w:rPr>
            </w:pPr>
            <w:hyperlink r:id="rId122">
              <w:r>
                <w:rPr>
                  <w:rFonts w:ascii="Arial" w:cs="Arial" w:eastAsia="Arial" w:hAnsi="Arial"/>
                  <w:sz w:val="18"/>
                  <w:szCs w:val="18"/>
                  <w:color w:val="0000FF"/>
                  <w:w w:val="87"/>
                </w:rPr>
                <w:t>2, 2021).</w:t>
              </w:r>
            </w:hyperlink>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Employee Matters Agreement by and between XPO Logistics, Inc. and GXO Logistics, Inc., dated as of August 1, 2021 (incorporated</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by reference to Exhibit 10.3 of the Company’s Current Report on Form 8-K (Commission file no. 001-40470) filed with the SEC on</w:t>
              </w:r>
            </w:hyperlink>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August 2, 2021).</w:t>
              </w:r>
            </w:hyperlink>
          </w:p>
        </w:tc>
        <w:tc>
          <w:tcPr>
            <w:tcW w:w="8300" w:type="dxa"/>
            <w:vAlign w:val="bottom"/>
            <w:tcBorders>
              <w:top w:val="single" w:sz="8" w:color="0000FF"/>
            </w:tcBorders>
            <w:gridSpan w:val="23"/>
          </w:tcPr>
          <w:p>
            <w:pPr>
              <w:spacing w:after="0"/>
              <w:rPr>
                <w:sz w:val="14"/>
                <w:szCs w:val="14"/>
                <w:color w:val="auto"/>
              </w:rPr>
            </w:pPr>
          </w:p>
        </w:tc>
        <w:tc>
          <w:tcPr>
            <w:tcW w:w="160" w:type="dxa"/>
            <w:vAlign w:val="bottom"/>
            <w:gridSpan w:val="2"/>
          </w:tcPr>
          <w:p>
            <w:pPr>
              <w:spacing w:after="0"/>
              <w:rPr>
                <w:sz w:val="14"/>
                <w:szCs w:val="14"/>
                <w:color w:val="auto"/>
              </w:rPr>
            </w:pPr>
          </w:p>
        </w:tc>
        <w:tc>
          <w:tcPr>
            <w:tcW w:w="1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Arial" w:cs="Arial" w:eastAsia="Arial" w:hAnsi="Arial"/>
                <w:sz w:val="18"/>
                <w:szCs w:val="18"/>
                <w:color w:val="0000FF"/>
                <w:w w:val="97"/>
              </w:rPr>
            </w:pPr>
            <w:hyperlink r:id="rId124">
              <w:r>
                <w:rPr>
                  <w:rFonts w:ascii="Arial" w:cs="Arial" w:eastAsia="Arial" w:hAnsi="Arial"/>
                  <w:sz w:val="18"/>
                  <w:szCs w:val="18"/>
                  <w:color w:val="0000FF"/>
                  <w:w w:val="97"/>
                </w:rPr>
                <w:t>Intellectual Property License Agreement by and between XPO Logistics, Inc. and GXO Logistics, Inc., dated as of July 30, 2021</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(incorporated by reference to Exhibit 10.4 of the Company’s Current Report on Form 8-K (Commission file no. 001-40470) filed</w:t>
              </w:r>
            </w:hyperlink>
          </w:p>
        </w:tc>
        <w:tc>
          <w:tcPr>
            <w:tcW w:w="660" w:type="dxa"/>
            <w:vAlign w:val="bottom"/>
            <w:gridSpan w:val="19"/>
          </w:tcPr>
          <w:p>
            <w:pPr>
              <w:ind w:left="60"/>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with</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the SEC on August 2, 2021).</w:t>
              </w:r>
            </w:hyperlink>
          </w:p>
        </w:tc>
        <w:tc>
          <w:tcPr>
            <w:tcW w:w="7600" w:type="dxa"/>
            <w:vAlign w:val="bottom"/>
            <w:tcBorders>
              <w:top w:val="single" w:sz="8" w:color="0000FF"/>
            </w:tcBorders>
            <w:gridSpan w:val="22"/>
          </w:tcPr>
          <w:p>
            <w:pPr>
              <w:spacing w:after="0"/>
              <w:rPr>
                <w:sz w:val="14"/>
                <w:szCs w:val="14"/>
                <w:color w:val="auto"/>
              </w:rPr>
            </w:pPr>
          </w:p>
        </w:tc>
        <w:tc>
          <w:tcPr>
            <w:tcW w:w="1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220" w:type="dxa"/>
            <w:vAlign w:val="bottom"/>
          </w:tcPr>
          <w:p>
            <w:pPr>
              <w:jc w:val="center"/>
              <w:spacing w:after="0"/>
              <w:rPr>
                <w:sz w:val="20"/>
                <w:szCs w:val="20"/>
                <w:color w:val="auto"/>
              </w:rPr>
            </w:pPr>
            <w:r>
              <w:rPr>
                <w:rFonts w:ascii="Arial" w:cs="Arial" w:eastAsia="Arial" w:hAnsi="Arial"/>
                <w:sz w:val="18"/>
                <w:szCs w:val="18"/>
                <w:color w:val="auto"/>
                <w:w w:val="92"/>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GXO Logistics, Inc. 2021 Omnibus Incentive Plan (incorporated by reference to Exhibit 10.5 of the Company’s Current Report on Form</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8-K (Commission file no. 001-40470) filed with the SEC on August 2, 2021).</w:t>
              </w:r>
            </w:hyperlink>
          </w:p>
        </w:tc>
        <w:tc>
          <w:tcPr>
            <w:tcW w:w="4260" w:type="dxa"/>
            <w:vAlign w:val="bottom"/>
            <w:tcBorders>
              <w:top w:val="single" w:sz="8" w:color="0000FF"/>
            </w:tcBorders>
            <w:gridSpan w:val="21"/>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20" w:type="dxa"/>
            <w:vAlign w:val="bottom"/>
          </w:tcPr>
          <w:p>
            <w:pPr>
              <w:jc w:val="center"/>
              <w:spacing w:after="0"/>
              <w:rPr>
                <w:sz w:val="20"/>
                <w:szCs w:val="20"/>
                <w:color w:val="auto"/>
              </w:rPr>
            </w:pPr>
            <w:r>
              <w:rPr>
                <w:rFonts w:ascii="Arial" w:cs="Arial" w:eastAsia="Arial" w:hAnsi="Arial"/>
                <w:sz w:val="18"/>
                <w:szCs w:val="18"/>
                <w:color w:val="auto"/>
                <w:w w:val="92"/>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GXO Logistics, Inc. Severance Plan (incorporated by reference to Exhibit 10.6 of the Company’s Current Report on Form 8-K</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(Commission file no. 001-40470) filed with the SEC on August 2, 2021).</w:t>
              </w:r>
            </w:hyperlink>
          </w:p>
        </w:tc>
        <w:tc>
          <w:tcPr>
            <w:tcW w:w="3840" w:type="dxa"/>
            <w:vAlign w:val="bottom"/>
            <w:tcBorders>
              <w:top w:val="single" w:sz="8" w:color="0000FF"/>
            </w:tcBorders>
            <w:gridSpan w:val="5"/>
          </w:tcPr>
          <w:p>
            <w:pPr>
              <w:spacing w:after="0"/>
              <w:rPr>
                <w:sz w:val="13"/>
                <w:szCs w:val="13"/>
                <w:color w:val="auto"/>
              </w:rPr>
            </w:pPr>
          </w:p>
        </w:tc>
        <w:tc>
          <w:tcPr>
            <w:tcW w:w="820" w:type="dxa"/>
            <w:vAlign w:val="bottom"/>
            <w:gridSpan w:val="21"/>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spacing w:after="0" w:line="22" w:lineRule="exact"/>
        <w:rPr>
          <w:sz w:val="20"/>
          <w:szCs w:val="20"/>
          <w:color w:val="auto"/>
        </w:rPr>
      </w:pPr>
    </w:p>
    <w:p>
      <w:pPr>
        <w:ind w:left="1000" w:right="120" w:hanging="954"/>
        <w:spacing w:after="0" w:line="248" w:lineRule="auto"/>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128">
        <w:r>
          <w:rPr>
            <w:rFonts w:ascii="Arial" w:cs="Arial" w:eastAsia="Arial" w:hAnsi="Arial"/>
            <w:sz w:val="16"/>
            <w:szCs w:val="16"/>
            <w:u w:val="single" w:color="auto"/>
            <w:color w:val="0000FF"/>
          </w:rPr>
          <w:t>Form of Option Award Agreement under the GXO Logistics, Inc. 2021 Omnibus Incentive Compensation Plan (incorporated by</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reference to Exhibit 10.2 to the Company’s Registration Statement on Form 10 (Commission file no. 001-40470) filed with the SEC on</w:t>
        </w:r>
      </w:hyperlink>
    </w:p>
    <w:p>
      <w:pPr>
        <w:ind w:left="1000"/>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June 9, 2021).</w:t>
        </w:r>
      </w:hyperlink>
    </w:p>
    <w:p>
      <w:pPr>
        <w:ind w:left="40"/>
        <w:spacing w:after="0"/>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129">
        <w:r>
          <w:rPr>
            <w:rFonts w:ascii="Arial" w:cs="Arial" w:eastAsia="Arial" w:hAnsi="Arial"/>
            <w:sz w:val="16"/>
            <w:szCs w:val="16"/>
            <w:u w:val="single" w:color="auto"/>
            <w:color w:val="0000FF"/>
          </w:rPr>
          <w:t>Form of Restricted Stock Unit Award Agreement (2021 Omnibus Incentive Compensation Plan) (incorporated by reference to Exhibit</w:t>
        </w:r>
      </w:hyperlink>
    </w:p>
    <w:p>
      <w:pPr>
        <w:spacing w:after="0" w:line="1" w:lineRule="exact"/>
        <w:rPr>
          <w:sz w:val="20"/>
          <w:szCs w:val="20"/>
          <w:color w:val="auto"/>
        </w:rPr>
      </w:pPr>
    </w:p>
    <w:p>
      <w:pPr>
        <w:ind w:left="1000"/>
        <w:spacing w:after="0"/>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10.4 of the Company's Quarterly Report on Form 10-Q (Commission file no. 001-40470) filed with the SEC on May 5, 2022).</w:t>
        </w:r>
      </w:hyperlink>
    </w:p>
    <w:p>
      <w:pPr>
        <w:spacing w:after="0" w:line="32" w:lineRule="exact"/>
        <w:rPr>
          <w:sz w:val="20"/>
          <w:szCs w:val="20"/>
          <w:color w:val="auto"/>
        </w:rPr>
      </w:pPr>
    </w:p>
    <w:p>
      <w:pPr>
        <w:ind w:left="1000" w:right="260" w:hanging="954"/>
        <w:spacing w:after="0" w:line="248" w:lineRule="auto"/>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30">
        <w:r>
          <w:rPr>
            <w:rFonts w:ascii="Arial" w:cs="Arial" w:eastAsia="Arial" w:hAnsi="Arial"/>
            <w:sz w:val="16"/>
            <w:szCs w:val="16"/>
            <w:u w:val="single" w:color="auto"/>
            <w:color w:val="0000FF"/>
          </w:rPr>
          <w:t>Form of Restricted Stock Unit Award Agreement for Non-Employee Directors (2021 Omnibus Incentive Compensation Plan)</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(incorporated by reference to Exhibit 10.12 to the Company’s Quarterly Report on Form 10-Q (Commission file no. 001-40470) filed</w:t>
        </w:r>
      </w:hyperlink>
    </w:p>
    <w:p>
      <w:pPr>
        <w:ind w:left="100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with the SEC on November 2, 2021).</w:t>
        </w:r>
      </w:hyperlink>
    </w:p>
    <w:p>
      <w:pPr>
        <w:spacing w:after="0" w:line="7" w:lineRule="exact"/>
        <w:rPr>
          <w:sz w:val="20"/>
          <w:szCs w:val="20"/>
          <w:color w:val="auto"/>
        </w:rPr>
      </w:pPr>
    </w:p>
    <w:p>
      <w:pPr>
        <w:ind w:left="1000" w:right="260" w:hanging="954"/>
        <w:spacing w:after="0" w:line="247" w:lineRule="auto"/>
        <w:tabs>
          <w:tab w:leader="none" w:pos="98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131">
        <w:r>
          <w:rPr>
            <w:rFonts w:ascii="Arial" w:cs="Arial" w:eastAsia="Arial" w:hAnsi="Arial"/>
            <w:sz w:val="16"/>
            <w:szCs w:val="16"/>
            <w:u w:val="single" w:color="auto"/>
            <w:color w:val="0000FF"/>
          </w:rPr>
          <w:t>Form of Restricted Stock Unit Award Agreement (Service-Vesting) (2021 Omnibus Incentive Compensation Plan) (incorporated by</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reference to Exhibit 10.13 to the Company’s Quarterly Report on Form 10-Q (Commission file no. 001-40470) filed with the SEC on</w:t>
        </w:r>
      </w:hyperlink>
    </w:p>
    <w:p>
      <w:pPr>
        <w:spacing w:after="0" w:line="1" w:lineRule="exact"/>
        <w:rPr>
          <w:sz w:val="20"/>
          <w:szCs w:val="20"/>
          <w:color w:val="auto"/>
        </w:rPr>
      </w:pPr>
    </w:p>
    <w:p>
      <w:pPr>
        <w:ind w:left="100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November 2, 2021).</w:t>
        </w:r>
      </w:hyperlink>
    </w:p>
    <w:p>
      <w:pPr>
        <w:sectPr>
          <w:pgSz w:w="11900" w:h="16838" w:orient="portrait"/>
          <w:cols w:equalWidth="0" w:num="1">
            <w:col w:w="10860"/>
          </w:cols>
          <w:pgMar w:left="680" w:top="1440" w:right="35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10.20+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20" w:lineRule="exact"/>
        <w:rPr>
          <w:sz w:val="20"/>
          <w:szCs w:val="20"/>
          <w:color w:val="auto"/>
        </w:rPr>
      </w:pPr>
      <w:r>
        <w:rPr>
          <w:sz w:val="20"/>
          <w:szCs w:val="20"/>
          <w:color w:val="auto"/>
        </w:rPr>
        <w:br w:type="column"/>
      </w:r>
    </w:p>
    <w:p>
      <w:pPr>
        <w:ind w:right="20"/>
        <w:spacing w:after="0" w:line="272" w:lineRule="auto"/>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Form of Performance Share Unit Award Agreement (2021 Omnibus Incentive Compensation Plan) (incorporated by reference to Exhibit</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10.5 of the Company's Quarterly Report on Form 10-Q (Commission file no. 001-40470) filed with the SEC on May 5, 2022).</w:t>
        </w:r>
      </w:hyperlink>
    </w:p>
    <w:p>
      <w:pPr>
        <w:spacing w:after="0" w:line="1" w:lineRule="exact"/>
        <w:rPr>
          <w:sz w:val="20"/>
          <w:szCs w:val="20"/>
          <w:color w:val="auto"/>
        </w:rPr>
      </w:pPr>
    </w:p>
    <w:p>
      <w:pPr>
        <w:ind w:right="300"/>
        <w:spacing w:after="0" w:line="235"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GXO Logistics, Inc. Cash Long-Term Incentive Plan (incorporated by reference to Exhibit 10.7 of the Company’s Current Report on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Form 8-K (Commission file no. 001-40470) filed with the SEC on August 2, 2021).</w:t>
        </w:r>
      </w:hyperlink>
    </w:p>
    <w:p>
      <w:pPr>
        <w:spacing w:after="0" w:line="27" w:lineRule="exact"/>
        <w:rPr>
          <w:sz w:val="20"/>
          <w:szCs w:val="20"/>
          <w:color w:val="auto"/>
        </w:rPr>
      </w:pPr>
    </w:p>
    <w:p>
      <w:pPr>
        <w:ind w:right="120"/>
        <w:spacing w:after="0" w:line="290" w:lineRule="auto"/>
        <w:rPr>
          <w:rFonts w:ascii="Arial" w:cs="Arial" w:eastAsia="Arial" w:hAnsi="Arial"/>
          <w:sz w:val="17"/>
          <w:szCs w:val="17"/>
          <w:u w:val="single" w:color="auto"/>
          <w:color w:val="0000FF"/>
        </w:rPr>
      </w:pPr>
      <w:hyperlink r:id="rId134">
        <w:r>
          <w:rPr>
            <w:rFonts w:ascii="Arial" w:cs="Arial" w:eastAsia="Arial" w:hAnsi="Arial"/>
            <w:sz w:val="17"/>
            <w:szCs w:val="17"/>
            <w:u w:val="single" w:color="auto"/>
            <w:color w:val="0000FF"/>
          </w:rPr>
          <w:t>Offer Letter between XPO Logistics Europe and Malcolm Wilson, dated as of May 14, 2021 (incorporated by reference to Exhibit 10.7</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to the Company’s Registration Statement on Form 10 (Commission file no. 001-40470) filed with the SEC on June 9, 2021).</w:t>
        </w:r>
      </w:hyperlink>
    </w:p>
    <w:p>
      <w:pPr>
        <w:ind w:right="40"/>
        <w:spacing w:after="0" w:line="256"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Service Agreement between XPO Supply Chain UK Limited and Malcolm Wilson, dated as of May 14, 2021 (incorporated by reference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to Exhibit 10.8 to the Company’s Registration Statement on Form 10 (Commission file no. 001-40470) filed with the SEC on June 9,</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2021).</w:t>
        </w:r>
      </w:hyperlink>
    </w:p>
    <w:p>
      <w:pPr>
        <w:spacing w:after="0" w:line="13" w:lineRule="exact"/>
        <w:rPr>
          <w:rFonts w:ascii="Arial" w:cs="Arial" w:eastAsia="Arial" w:hAnsi="Arial"/>
          <w:sz w:val="18"/>
          <w:szCs w:val="18"/>
          <w:u w:val="single" w:color="auto"/>
          <w:color w:val="0000FF"/>
        </w:rPr>
      </w:pPr>
    </w:p>
    <w:p>
      <w:pPr>
        <w:ind w:right="100"/>
        <w:spacing w:after="0" w:line="308" w:lineRule="auto"/>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Offer Letter between XPO Logistics Europe and Maryclaire Hammond, dated as of May 14, 2021 (incorporated by reference to Exhibit</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10.10 to the Company’s Registration Statement on Form 10 (Commission file no. 001-40470) filed with the SEC on June 9, 2021).</w:t>
        </w:r>
      </w:hyperlink>
    </w:p>
    <w:p>
      <w:pPr>
        <w:ind w:right="40"/>
        <w:spacing w:after="0" w:line="256"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Service Agreement between XPO Supply Chain UK Limited and Maryclaire Hammond, dated as of May 14, 2021 (incorporated by</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reference to Exhibit 10.11 to the Company’s Registration Statement on Form 10 (Commission file no. 001-40470) filed with the SEC on</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June 9, 2021).</w:t>
        </w:r>
      </w:hyperlink>
    </w:p>
    <w:p>
      <w:pPr>
        <w:spacing w:after="0" w:line="13" w:lineRule="exact"/>
        <w:rPr>
          <w:rFonts w:ascii="Arial" w:cs="Arial" w:eastAsia="Arial" w:hAnsi="Arial"/>
          <w:sz w:val="18"/>
          <w:szCs w:val="18"/>
          <w:u w:val="single" w:color="auto"/>
          <w:color w:val="0000FF"/>
        </w:rPr>
      </w:pPr>
    </w:p>
    <w:p>
      <w:pPr>
        <w:jc w:val="both"/>
        <w:ind w:right="100"/>
        <w:spacing w:after="0" w:line="256"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Pension Top Up Letter between XPO Logistics Europe and Maryclaire Hammond, dated as of May 14, 2021 (incorporated by reference</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to Exhibit 10.12 to the Company’s Amendment No. 3 to the Registration Statement on Form 10 (Commission file no. 001-40470) filed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with the SEC on July 7, 2021).</w:t>
        </w:r>
      </w:hyperlink>
    </w:p>
    <w:p>
      <w:pPr>
        <w:spacing w:after="0" w:line="13" w:lineRule="exact"/>
        <w:rPr>
          <w:rFonts w:ascii="Arial" w:cs="Arial" w:eastAsia="Arial" w:hAnsi="Arial"/>
          <w:sz w:val="18"/>
          <w:szCs w:val="18"/>
          <w:u w:val="single" w:color="auto"/>
          <w:color w:val="0000FF"/>
        </w:rPr>
      </w:pPr>
    </w:p>
    <w:p>
      <w:pPr>
        <w:spacing w:after="0" w:line="256" w:lineRule="auto"/>
        <w:rPr>
          <w:rFonts w:ascii="Arial" w:cs="Arial" w:eastAsia="Arial" w:hAnsi="Arial"/>
          <w:sz w:val="18"/>
          <w:szCs w:val="18"/>
          <w:color w:val="0000FF"/>
        </w:rPr>
      </w:pPr>
      <w:hyperlink r:id="rId139">
        <w:r>
          <w:rPr>
            <w:rFonts w:ascii="Arial" w:cs="Arial" w:eastAsia="Arial" w:hAnsi="Arial"/>
            <w:sz w:val="18"/>
            <w:szCs w:val="18"/>
            <w:u w:val="single" w:color="auto"/>
            <w:color w:val="0000FF"/>
          </w:rPr>
          <w:t>Offer Letter between XPO Logistics Europe and Karlis Kirsis, dated as of July 9, 2021 (incorporated by reference to Exhibit 10.16 to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Company’s Amendment No. 4 to the Registration Statement on Form 10 (Commission file no. 001-40470) filed with the SEC on July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15, 2021)</w:t>
        </w:r>
        <w:r>
          <w:rPr>
            <w:rFonts w:ascii="Arial" w:cs="Arial" w:eastAsia="Arial" w:hAnsi="Arial"/>
            <w:sz w:val="18"/>
            <w:szCs w:val="18"/>
            <w:color w:val="000000"/>
          </w:rPr>
          <w:t>.</w:t>
        </w:r>
      </w:hyperlink>
    </w:p>
    <w:p>
      <w:pPr>
        <w:spacing w:after="0" w:line="13" w:lineRule="exact"/>
        <w:rPr>
          <w:rFonts w:ascii="Arial" w:cs="Arial" w:eastAsia="Arial" w:hAnsi="Arial"/>
          <w:sz w:val="18"/>
          <w:szCs w:val="18"/>
          <w:u w:val="single" w:color="auto"/>
          <w:color w:val="0000FF"/>
        </w:rPr>
      </w:pPr>
    </w:p>
    <w:p>
      <w:pPr>
        <w:jc w:val="both"/>
        <w:ind w:right="280"/>
        <w:spacing w:after="0" w:line="256"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Service Agreement between XPO Supply Chain UK Limited and Karlis Kirsis, dated as of July 9, 2021 (incorporated by reference to</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Exhibit 10.14 to the Company’s Amendment No. 4 to the Registration Statement on Form 10 (Commission file no. 001-40470) filed</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with the SEC on July 15, 2021).</w:t>
        </w:r>
      </w:hyperlink>
    </w:p>
    <w:p>
      <w:pPr>
        <w:spacing w:after="0" w:line="13" w:lineRule="exact"/>
        <w:rPr>
          <w:rFonts w:ascii="Arial" w:cs="Arial" w:eastAsia="Arial" w:hAnsi="Arial"/>
          <w:sz w:val="18"/>
          <w:szCs w:val="18"/>
          <w:u w:val="single" w:color="auto"/>
          <w:color w:val="0000FF"/>
        </w:rPr>
      </w:pPr>
    </w:p>
    <w:p>
      <w:pPr>
        <w:ind w:right="140"/>
        <w:spacing w:after="0" w:line="256"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Pension Top Up Letter between XPO Logistics Europe and Karlis Kirsis, dated as of July 9, 2021 (incorporated by reference to Exhibit</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10.15 to the Company’s Amendment No. 4 to the Registration Statement on Form 10 (Commission file no. 001-40470) filed with the</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SEC on July 15, 2021).</w:t>
        </w:r>
      </w:hyperlink>
    </w:p>
    <w:p>
      <w:pPr>
        <w:spacing w:after="0" w:line="13" w:lineRule="exact"/>
        <w:rPr>
          <w:rFonts w:ascii="Arial" w:cs="Arial" w:eastAsia="Arial" w:hAnsi="Arial"/>
          <w:sz w:val="18"/>
          <w:szCs w:val="18"/>
          <w:u w:val="single" w:color="auto"/>
          <w:color w:val="0000FF"/>
        </w:rPr>
      </w:pPr>
    </w:p>
    <w:p>
      <w:pPr>
        <w:ind w:right="260"/>
        <w:spacing w:after="0" w:line="281" w:lineRule="auto"/>
        <w:rPr>
          <w:rFonts w:ascii="Arial" w:cs="Arial" w:eastAsia="Arial" w:hAnsi="Arial"/>
          <w:sz w:val="17"/>
          <w:szCs w:val="17"/>
          <w:u w:val="single" w:color="auto"/>
          <w:color w:val="0000FF"/>
        </w:rPr>
      </w:pPr>
      <w:hyperlink r:id="rId142">
        <w:r>
          <w:rPr>
            <w:rFonts w:ascii="Arial" w:cs="Arial" w:eastAsia="Arial" w:hAnsi="Arial"/>
            <w:sz w:val="17"/>
            <w:szCs w:val="17"/>
            <w:u w:val="single" w:color="auto"/>
            <w:color w:val="0000FF"/>
          </w:rPr>
          <w:t>Offer Letter between XPO Logistics, Inc. and Baris Oran, dated as of April 20, 2021 (incorporated by reference to Exhibit 10.9 to the</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Company’s Registration Statement on Form 10 (Commission file no. 001-40470) filed with the SEC on June 9, 2021).</w:t>
        </w:r>
      </w:hyperlink>
    </w:p>
    <w:p>
      <w:pPr>
        <w:spacing w:after="0" w:line="1" w:lineRule="exact"/>
        <w:rPr>
          <w:sz w:val="20"/>
          <w:szCs w:val="20"/>
          <w:color w:val="auto"/>
        </w:rPr>
      </w:pPr>
    </w:p>
    <w:p>
      <w:pPr>
        <w:ind w:right="240"/>
        <w:spacing w:after="0" w:line="299" w:lineRule="auto"/>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Offer Letter between GXO Logistics, Inc. and Elizabeth Fogarty, dated as of October 22, 2021 (incorporated by reference to Exhibit</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10.14 to the Company’s Quarterly Report on Form 10-Q (Commission file no. 001-40470) filed with the SEC on November 2, 2021).</w:t>
        </w:r>
      </w:hyperlink>
    </w:p>
    <w:p>
      <w:pPr>
        <w:spacing w:after="0" w:line="1"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Form of Deed of Irrevocable Undertaking (incorporated by reference to Exhibit 10.01 of the Company’s Current Report on Form 8-K</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(Commission file no. 001-40470) filed with the SEC on March 1, 2022).</w:t>
        </w:r>
      </w:hyperlink>
    </w:p>
    <w:p>
      <w:pPr>
        <w:spacing w:after="0" w:line="200" w:lineRule="exact"/>
        <w:rPr>
          <w:sz w:val="20"/>
          <w:szCs w:val="20"/>
          <w:color w:val="auto"/>
        </w:rPr>
      </w:pPr>
    </w:p>
    <w:p>
      <w:pPr>
        <w:sectPr>
          <w:pgSz w:w="11900" w:h="16838" w:orient="portrait"/>
          <w:cols w:equalWidth="0" w:num="2">
            <w:col w:w="500" w:space="500"/>
            <w:col w:w="9860"/>
          </w:cols>
          <w:pgMar w:left="68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80" w:top="1440" w:right="359" w:bottom="1440" w:gutter="0" w:footer="0" w:header="0"/>
          <w:type w:val="continuous"/>
        </w:sectPr>
      </w:pPr>
    </w:p>
    <w:bookmarkStart w:id="77" w:name="page78"/>
    <w:bookmarkEnd w:id="77"/>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10.23</w:t>
            </w:r>
          </w:p>
        </w:tc>
        <w:tc>
          <w:tcPr>
            <w:tcW w:w="9800" w:type="dxa"/>
            <w:vAlign w:val="bottom"/>
            <w:gridSpan w:val="18"/>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Credit Agreement, dated as of June 23, 2021, by and among GXO Logistics, Inc., the lenders and other parties from time to time party</w:t>
              </w:r>
            </w:hyperlink>
          </w:p>
        </w:tc>
      </w:tr>
      <w:tr>
        <w:trPr>
          <w:trHeight w:val="156"/>
        </w:trPr>
        <w:tc>
          <w:tcPr>
            <w:tcW w:w="112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6" w:lineRule="exact"/>
              <w:rPr>
                <w:rFonts w:ascii="Arial" w:cs="Arial" w:eastAsia="Arial" w:hAnsi="Arial"/>
                <w:sz w:val="18"/>
                <w:szCs w:val="18"/>
                <w:color w:val="0000FF"/>
                <w:w w:val="97"/>
              </w:rPr>
            </w:pPr>
            <w:hyperlink r:id="rId146">
              <w:r>
                <w:rPr>
                  <w:rFonts w:ascii="Arial" w:cs="Arial" w:eastAsia="Arial" w:hAnsi="Arial"/>
                  <w:sz w:val="18"/>
                  <w:szCs w:val="18"/>
                  <w:color w:val="0000FF"/>
                  <w:w w:val="97"/>
                </w:rPr>
                <w:t>thereto, and Citibank, N.A., as Administrative Agent and an Issuing Lender (incorporated by reference to Exhibit 10.13 to the</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90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Company’s Amendment No. 3 to the Registration Statement on Form 10 (Commission file no. 001-40470) filed with the SEC</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700" w:type="dxa"/>
            <w:vAlign w:val="bottom"/>
            <w:tcBorders>
              <w:bottom w:val="single" w:sz="8" w:color="0000FF"/>
            </w:tcBorders>
            <w:gridSpan w:val="8"/>
          </w:tcPr>
          <w:p>
            <w:pPr>
              <w:spacing w:after="0" w:line="169" w:lineRule="exact"/>
              <w:rPr>
                <w:rFonts w:ascii="Arial" w:cs="Arial" w:eastAsia="Arial" w:hAnsi="Arial"/>
                <w:sz w:val="18"/>
                <w:szCs w:val="18"/>
                <w:color w:val="0000FF"/>
                <w:w w:val="88"/>
              </w:rPr>
            </w:pPr>
            <w:hyperlink r:id="rId146">
              <w:r>
                <w:rPr>
                  <w:rFonts w:ascii="Arial" w:cs="Arial" w:eastAsia="Arial" w:hAnsi="Arial"/>
                  <w:sz w:val="18"/>
                  <w:szCs w:val="18"/>
                  <w:color w:val="0000FF"/>
                  <w:w w:val="88"/>
                </w:rPr>
                <w:t>on July 7,</w:t>
              </w:r>
            </w:hyperlink>
          </w:p>
        </w:tc>
      </w:tr>
      <w:tr>
        <w:trPr>
          <w:trHeight w:val="156"/>
        </w:trPr>
        <w:tc>
          <w:tcPr>
            <w:tcW w:w="11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46">
              <w:r>
                <w:rPr>
                  <w:rFonts w:ascii="Arial" w:cs="Arial" w:eastAsia="Arial" w:hAnsi="Arial"/>
                  <w:sz w:val="18"/>
                  <w:szCs w:val="18"/>
                  <w:color w:val="0000FF"/>
                  <w:w w:val="86"/>
                </w:rPr>
                <w:t>2021).</w:t>
              </w:r>
            </w:hyperlink>
          </w:p>
        </w:tc>
        <w:tc>
          <w:tcPr>
            <w:tcW w:w="1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10.24</w:t>
            </w:r>
          </w:p>
        </w:tc>
        <w:tc>
          <w:tcPr>
            <w:tcW w:w="9800" w:type="dxa"/>
            <w:vAlign w:val="bottom"/>
            <w:gridSpan w:val="18"/>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Term Loan Credit Agreement, dated as of March 22, 2022, by and among GXO Logistics, Inc., the lenders and other parties from time</w:t>
              </w:r>
            </w:hyperlink>
          </w:p>
        </w:tc>
      </w:tr>
      <w:tr>
        <w:trPr>
          <w:trHeight w:val="156"/>
        </w:trPr>
        <w:tc>
          <w:tcPr>
            <w:tcW w:w="1120" w:type="dxa"/>
            <w:vAlign w:val="bottom"/>
          </w:tcPr>
          <w:p>
            <w:pPr>
              <w:spacing w:after="0"/>
              <w:rPr>
                <w:sz w:val="13"/>
                <w:szCs w:val="13"/>
                <w:color w:val="auto"/>
              </w:rPr>
            </w:pPr>
          </w:p>
        </w:tc>
        <w:tc>
          <w:tcPr>
            <w:tcW w:w="9700" w:type="dxa"/>
            <w:vAlign w:val="bottom"/>
            <w:tcBorders>
              <w:top w:val="single" w:sz="8" w:color="0000FF"/>
            </w:tcBorders>
            <w:gridSpan w:val="17"/>
          </w:tcPr>
          <w:p>
            <w:pPr>
              <w:spacing w:after="0" w:line="156" w:lineRule="exact"/>
              <w:rPr>
                <w:rFonts w:ascii="Arial" w:cs="Arial" w:eastAsia="Arial" w:hAnsi="Arial"/>
                <w:sz w:val="18"/>
                <w:szCs w:val="18"/>
                <w:color w:val="0000FF"/>
                <w:w w:val="94"/>
              </w:rPr>
            </w:pPr>
            <w:hyperlink r:id="rId147">
              <w:r>
                <w:rPr>
                  <w:rFonts w:ascii="Arial" w:cs="Arial" w:eastAsia="Arial" w:hAnsi="Arial"/>
                  <w:sz w:val="18"/>
                  <w:szCs w:val="18"/>
                  <w:color w:val="0000FF"/>
                  <w:w w:val="94"/>
                </w:rPr>
                <w:t>to time party thereto, and Barclays Bank plc, as Administrative Agent (incorporated by reference to Exhibit 10.1 of the Company’s</w:t>
              </w:r>
            </w:hyperlink>
          </w:p>
        </w:tc>
        <w:tc>
          <w:tcPr>
            <w:tcW w:w="10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94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47">
              <w:r>
                <w:rPr>
                  <w:rFonts w:ascii="Arial" w:cs="Arial" w:eastAsia="Arial" w:hAnsi="Arial"/>
                  <w:sz w:val="18"/>
                  <w:szCs w:val="18"/>
                  <w:color w:val="0000FF"/>
                </w:rPr>
                <w:t>Current Report on Form 8-K (Commission file no. 001-40470) filed with the SEC on March 23, 2022).</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rPr>
              <w:t>10.25***</w:t>
            </w:r>
          </w:p>
        </w:tc>
        <w:tc>
          <w:tcPr>
            <w:tcW w:w="9800" w:type="dxa"/>
            <w:vAlign w:val="bottom"/>
            <w:gridSpan w:val="18"/>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Term Loan Credit Agreement, dated as of May 25, 2022, by and among the Company, the lenders and other parties from time to time</w:t>
              </w:r>
            </w:hyperlink>
          </w:p>
        </w:tc>
      </w:tr>
      <w:tr>
        <w:trPr>
          <w:trHeight w:val="155"/>
        </w:trPr>
        <w:tc>
          <w:tcPr>
            <w:tcW w:w="1120" w:type="dxa"/>
            <w:vAlign w:val="bottom"/>
          </w:tcPr>
          <w:p>
            <w:pPr>
              <w:spacing w:after="0"/>
              <w:rPr>
                <w:sz w:val="13"/>
                <w:szCs w:val="13"/>
                <w:color w:val="auto"/>
              </w:rPr>
            </w:pPr>
          </w:p>
        </w:tc>
        <w:tc>
          <w:tcPr>
            <w:tcW w:w="958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party thereto, and Barclays Bank plc, as Administrative Agent (incorporated by reference to Exhibit 10.1 of the Company’s Current</w:t>
              </w:r>
            </w:hyperlink>
          </w:p>
        </w:tc>
        <w:tc>
          <w:tcPr>
            <w:tcW w:w="220" w:type="dxa"/>
            <w:vAlign w:val="bottom"/>
            <w:gridSpan w:val="3"/>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948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48">
              <w:r>
                <w:rPr>
                  <w:rFonts w:ascii="Arial" w:cs="Arial" w:eastAsia="Arial" w:hAnsi="Arial"/>
                  <w:sz w:val="18"/>
                  <w:szCs w:val="18"/>
                  <w:color w:val="0000FF"/>
                </w:rPr>
                <w:t>Report on Form 8-K (Commission file no. 001-40470) filed with the SEC on May 26, 2022).</w:t>
              </w:r>
            </w:hyperlink>
          </w:p>
        </w:tc>
        <w:tc>
          <w:tcPr>
            <w:tcW w:w="320" w:type="dxa"/>
            <w:vAlign w:val="bottom"/>
            <w:gridSpan w:val="4"/>
          </w:tcPr>
          <w:p>
            <w:pPr>
              <w:spacing w:after="0"/>
              <w:rPr>
                <w:sz w:val="14"/>
                <w:szCs w:val="14"/>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21.1*</w:t>
            </w:r>
          </w:p>
        </w:tc>
        <w:tc>
          <w:tcPr>
            <w:tcW w:w="21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Subsidiaries of the registrant.</w:t>
            </w:r>
          </w:p>
        </w:tc>
        <w:tc>
          <w:tcPr>
            <w:tcW w:w="4560" w:type="dxa"/>
            <w:vAlign w:val="bottom"/>
            <w:tcBorders>
              <w:top w:val="single" w:sz="8" w:color="0000FF"/>
            </w:tcBorders>
            <w:gridSpan w:val="4"/>
          </w:tcPr>
          <w:p>
            <w:pPr>
              <w:spacing w:after="0"/>
              <w:rPr>
                <w:sz w:val="18"/>
                <w:szCs w:val="18"/>
                <w:color w:val="auto"/>
              </w:rPr>
            </w:pPr>
          </w:p>
        </w:tc>
        <w:tc>
          <w:tcPr>
            <w:tcW w:w="3120" w:type="dxa"/>
            <w:vAlign w:val="bottom"/>
            <w:gridSpan w:val="12"/>
          </w:tcPr>
          <w:p>
            <w:pPr>
              <w:spacing w:after="0"/>
              <w:rPr>
                <w:sz w:val="18"/>
                <w:szCs w:val="18"/>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23.1*</w:t>
            </w:r>
          </w:p>
        </w:tc>
        <w:tc>
          <w:tcPr>
            <w:tcW w:w="9800" w:type="dxa"/>
            <w:vAlign w:val="bottom"/>
            <w:gridSpan w:val="18"/>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120" w:type="dxa"/>
            <w:vAlign w:val="bottom"/>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31.1*</w:t>
            </w:r>
          </w:p>
        </w:tc>
        <w:tc>
          <w:tcPr>
            <w:tcW w:w="9800" w:type="dxa"/>
            <w:vAlign w:val="bottom"/>
            <w:gridSpan w:val="18"/>
          </w:tcPr>
          <w:p>
            <w:pPr>
              <w:spacing w:after="0"/>
              <w:rPr>
                <w:sz w:val="20"/>
                <w:szCs w:val="20"/>
                <w:color w:val="auto"/>
              </w:rPr>
            </w:pPr>
            <w:r>
              <w:rPr>
                <w:rFonts w:ascii="Arial" w:cs="Arial" w:eastAsia="Arial" w:hAnsi="Arial"/>
                <w:sz w:val="18"/>
                <w:szCs w:val="18"/>
                <w:color w:val="0000FF"/>
                <w:w w:val="98"/>
              </w:rPr>
              <w:t>Certification of the Principal Executive Officer pursuant to Section 302 of the Sarbanes-Oxley Act of 2002, with respect to the</w:t>
            </w:r>
          </w:p>
        </w:tc>
      </w:tr>
      <w:tr>
        <w:trPr>
          <w:trHeight w:val="156"/>
        </w:trPr>
        <w:tc>
          <w:tcPr>
            <w:tcW w:w="11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1"/>
              </w:rPr>
              <w:t>registrant’s Annual Report on Form 10-K for the fiscal year ended December 31, 2022.</w:t>
            </w:r>
          </w:p>
        </w:tc>
        <w:tc>
          <w:tcPr>
            <w:tcW w:w="28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6"/>
          </w:tcPr>
          <w:p>
            <w:pPr>
              <w:spacing w:after="0"/>
              <w:rPr>
                <w:sz w:val="13"/>
                <w:szCs w:val="13"/>
                <w:color w:val="auto"/>
              </w:rPr>
            </w:pPr>
          </w:p>
        </w:tc>
      </w:tr>
      <w:tr>
        <w:trPr>
          <w:trHeight w:val="223"/>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31.2*</w:t>
            </w:r>
          </w:p>
        </w:tc>
        <w:tc>
          <w:tcPr>
            <w:tcW w:w="9800" w:type="dxa"/>
            <w:vAlign w:val="bottom"/>
            <w:gridSpan w:val="18"/>
          </w:tcPr>
          <w:p>
            <w:pPr>
              <w:spacing w:after="0"/>
              <w:rPr>
                <w:sz w:val="20"/>
                <w:szCs w:val="20"/>
                <w:color w:val="auto"/>
              </w:rPr>
            </w:pPr>
            <w:r>
              <w:rPr>
                <w:rFonts w:ascii="Arial" w:cs="Arial" w:eastAsia="Arial" w:hAnsi="Arial"/>
                <w:sz w:val="18"/>
                <w:szCs w:val="18"/>
                <w:color w:val="0000FF"/>
                <w:w w:val="99"/>
              </w:rPr>
              <w:t>Certification of the Principal Financial Officer pursuant to Section 302 of the Sarbanes-Oxley Act of 2002, with respect to the</w:t>
            </w:r>
          </w:p>
        </w:tc>
      </w:tr>
      <w:tr>
        <w:trPr>
          <w:trHeight w:val="156"/>
        </w:trPr>
        <w:tc>
          <w:tcPr>
            <w:tcW w:w="11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1"/>
              </w:rPr>
              <w:t>registrant’s Annual Report on Form 10-K for the fiscal year ended December 31, 2022.</w:t>
            </w:r>
          </w:p>
        </w:tc>
        <w:tc>
          <w:tcPr>
            <w:tcW w:w="27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gridSpan w:val="6"/>
          </w:tcPr>
          <w:p>
            <w:pPr>
              <w:spacing w:after="0"/>
              <w:rPr>
                <w:sz w:val="13"/>
                <w:szCs w:val="13"/>
                <w:color w:val="auto"/>
              </w:rPr>
            </w:pPr>
          </w:p>
        </w:tc>
      </w:tr>
      <w:tr>
        <w:trPr>
          <w:trHeight w:val="223"/>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32.1**</w:t>
            </w:r>
          </w:p>
        </w:tc>
        <w:tc>
          <w:tcPr>
            <w:tcW w:w="9800" w:type="dxa"/>
            <w:vAlign w:val="bottom"/>
            <w:gridSpan w:val="18"/>
          </w:tcPr>
          <w:p>
            <w:pPr>
              <w:spacing w:after="0"/>
              <w:rPr>
                <w:sz w:val="20"/>
                <w:szCs w:val="20"/>
                <w:color w:val="auto"/>
              </w:rPr>
            </w:pPr>
            <w:r>
              <w:rPr>
                <w:rFonts w:ascii="Arial" w:cs="Arial" w:eastAsia="Arial" w:hAnsi="Arial"/>
                <w:sz w:val="18"/>
                <w:szCs w:val="18"/>
                <w:color w:val="0000FF"/>
                <w:w w:val="98"/>
              </w:rPr>
              <w:t>Certification of the Principal Executive Officer Pursuant to Section 906 of the Sarbanes-Oxley Act of 2002, with respect to the</w:t>
            </w:r>
          </w:p>
        </w:tc>
      </w:tr>
      <w:tr>
        <w:trPr>
          <w:trHeight w:val="155"/>
        </w:trPr>
        <w:tc>
          <w:tcPr>
            <w:tcW w:w="11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1"/>
              </w:rPr>
              <w:t>registrant’s Annual Report on Form 10-K for the fiscal year ended December 31, 2022.</w:t>
            </w:r>
          </w:p>
        </w:tc>
        <w:tc>
          <w:tcPr>
            <w:tcW w:w="2840" w:type="dxa"/>
            <w:vAlign w:val="bottom"/>
            <w:tcBorders>
              <w:top w:val="single" w:sz="8" w:color="0000FF"/>
            </w:tcBorders>
            <w:gridSpan w:val="7"/>
          </w:tcPr>
          <w:p>
            <w:pPr>
              <w:spacing w:after="0"/>
              <w:rPr>
                <w:sz w:val="13"/>
                <w:szCs w:val="13"/>
                <w:color w:val="auto"/>
              </w:rPr>
            </w:pPr>
          </w:p>
        </w:tc>
        <w:tc>
          <w:tcPr>
            <w:tcW w:w="660" w:type="dxa"/>
            <w:vAlign w:val="bottom"/>
            <w:gridSpan w:val="6"/>
          </w:tcPr>
          <w:p>
            <w:pPr>
              <w:spacing w:after="0"/>
              <w:rPr>
                <w:sz w:val="13"/>
                <w:szCs w:val="13"/>
                <w:color w:val="auto"/>
              </w:rPr>
            </w:pPr>
          </w:p>
        </w:tc>
      </w:tr>
      <w:tr>
        <w:trPr>
          <w:trHeight w:val="223"/>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32.2**</w:t>
            </w:r>
          </w:p>
        </w:tc>
        <w:tc>
          <w:tcPr>
            <w:tcW w:w="9800" w:type="dxa"/>
            <w:vAlign w:val="bottom"/>
            <w:gridSpan w:val="18"/>
          </w:tcPr>
          <w:p>
            <w:pPr>
              <w:spacing w:after="0"/>
              <w:rPr>
                <w:sz w:val="20"/>
                <w:szCs w:val="20"/>
                <w:color w:val="auto"/>
              </w:rPr>
            </w:pPr>
            <w:r>
              <w:rPr>
                <w:rFonts w:ascii="Arial" w:cs="Arial" w:eastAsia="Arial" w:hAnsi="Arial"/>
                <w:sz w:val="18"/>
                <w:szCs w:val="18"/>
                <w:color w:val="0000FF"/>
                <w:w w:val="99"/>
              </w:rPr>
              <w:t>Certification of the Principal Financial Officer Pursuant to Section 906 of the Sarbanes-Oxley Act of 2002, with respect to the</w:t>
            </w:r>
          </w:p>
        </w:tc>
      </w:tr>
      <w:tr>
        <w:trPr>
          <w:trHeight w:val="156"/>
        </w:trPr>
        <w:tc>
          <w:tcPr>
            <w:tcW w:w="11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registrant’s Annual Report on Form 10-K for the fiscal year ended December 31, 2022.</w:t>
            </w:r>
          </w:p>
        </w:tc>
        <w:tc>
          <w:tcPr>
            <w:tcW w:w="2820" w:type="dxa"/>
            <w:vAlign w:val="bottom"/>
            <w:tcBorders>
              <w:top w:val="single" w:sz="8" w:color="0000FF"/>
            </w:tcBorders>
            <w:gridSpan w:val="6"/>
          </w:tcPr>
          <w:p>
            <w:pPr>
              <w:spacing w:after="0"/>
              <w:rPr>
                <w:sz w:val="13"/>
                <w:szCs w:val="13"/>
                <w:color w:val="auto"/>
              </w:rPr>
            </w:pPr>
          </w:p>
        </w:tc>
        <w:tc>
          <w:tcPr>
            <w:tcW w:w="700" w:type="dxa"/>
            <w:vAlign w:val="bottom"/>
            <w:gridSpan w:val="8"/>
          </w:tcPr>
          <w:p>
            <w:pPr>
              <w:spacing w:after="0"/>
              <w:rPr>
                <w:sz w:val="13"/>
                <w:szCs w:val="13"/>
                <w:color w:val="auto"/>
              </w:rPr>
            </w:pPr>
          </w:p>
        </w:tc>
      </w:tr>
      <w:tr>
        <w:trPr>
          <w:trHeight w:val="263"/>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7"/>
              </w:rPr>
              <w:t>101.INS*</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r>
      <w:tr>
        <w:trPr>
          <w:trHeight w:val="22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101.SCH*</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8"/>
              </w:rPr>
              <w:t>101.CAL*</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4"/>
              </w:rPr>
              <w:t>101.DEF*</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9"/>
              </w:rPr>
              <w:t>101.LAB*</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3"/>
              </w:rPr>
              <w:t>101.PRE*</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7"/>
              </w:rPr>
              <w:t>104*</w:t>
            </w:r>
          </w:p>
        </w:tc>
        <w:tc>
          <w:tcPr>
            <w:tcW w:w="980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69" w:lineRule="exact"/>
        <w:rPr>
          <w:sz w:val="20"/>
          <w:szCs w:val="20"/>
          <w:color w:val="auto"/>
        </w:rPr>
      </w:pPr>
    </w:p>
    <w:p>
      <w:pPr>
        <w:ind w:left="1360" w:hanging="789"/>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60" w:hanging="835"/>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1360" w:right="80" w:hanging="880"/>
        <w:spacing w:after="0" w:line="234"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have been omitted pursuant to Item 601(a)(5) of Regulation S-K. The Company will furnish supplementally copies of omitted exhibits to the SEC or its staff upon its request.</w:t>
      </w:r>
    </w:p>
    <w:p>
      <w:pPr>
        <w:spacing w:after="0" w:line="14" w:lineRule="exact"/>
        <w:rPr>
          <w:sz w:val="20"/>
          <w:szCs w:val="20"/>
          <w:color w:val="auto"/>
        </w:rPr>
      </w:pPr>
    </w:p>
    <w:p>
      <w:pPr>
        <w:ind w:left="1360" w:hanging="795"/>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exhibit is a management contract or compensatory plan or arrangement.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GXO Logistics, Inc.</w:t>
            </w:r>
          </w:p>
        </w:tc>
      </w:tr>
      <w:tr>
        <w:trPr>
          <w:trHeight w:val="499"/>
        </w:trPr>
        <w:tc>
          <w:tcPr>
            <w:tcW w:w="2800" w:type="dxa"/>
            <w:vAlign w:val="bottom"/>
          </w:tcPr>
          <w:p>
            <w:pPr>
              <w:spacing w:after="0"/>
              <w:rPr>
                <w:sz w:val="20"/>
                <w:szCs w:val="20"/>
                <w:color w:val="auto"/>
              </w:rPr>
            </w:pPr>
            <w:r>
              <w:rPr>
                <w:rFonts w:ascii="Arial" w:cs="Arial" w:eastAsia="Arial" w:hAnsi="Arial"/>
                <w:sz w:val="18"/>
                <w:szCs w:val="18"/>
                <w:color w:val="auto"/>
              </w:rPr>
              <w:t>Date: February 15, 2023</w:t>
            </w:r>
          </w:p>
        </w:tc>
        <w:tc>
          <w:tcPr>
            <w:tcW w:w="1800" w:type="dxa"/>
            <w:vAlign w:val="bottom"/>
          </w:tcPr>
          <w:p>
            <w:pPr>
              <w:ind w:left="1020"/>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Malcolm Wilson</w:t>
            </w:r>
          </w:p>
        </w:tc>
      </w:tr>
      <w:tr>
        <w:trPr>
          <w:trHeight w:val="222"/>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Malcolm Wilson</w:t>
            </w:r>
          </w:p>
        </w:tc>
      </w:tr>
      <w:tr>
        <w:trPr>
          <w:trHeight w:val="229"/>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99"/>
        </w:trPr>
        <w:tc>
          <w:tcPr>
            <w:tcW w:w="2800" w:type="dxa"/>
            <w:vAlign w:val="bottom"/>
          </w:tcPr>
          <w:p>
            <w:pPr>
              <w:spacing w:after="0"/>
              <w:rPr>
                <w:sz w:val="20"/>
                <w:szCs w:val="20"/>
                <w:color w:val="auto"/>
              </w:rPr>
            </w:pPr>
            <w:r>
              <w:rPr>
                <w:rFonts w:ascii="Arial" w:cs="Arial" w:eastAsia="Arial" w:hAnsi="Arial"/>
                <w:sz w:val="18"/>
                <w:szCs w:val="18"/>
                <w:color w:val="auto"/>
              </w:rPr>
              <w:t>Date: February 15, 2023</w:t>
            </w:r>
          </w:p>
        </w:tc>
        <w:tc>
          <w:tcPr>
            <w:tcW w:w="1800" w:type="dxa"/>
            <w:vAlign w:val="bottom"/>
          </w:tcPr>
          <w:p>
            <w:pPr>
              <w:ind w:left="1020"/>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Baris Oran</w:t>
            </w:r>
          </w:p>
        </w:tc>
      </w:tr>
      <w:tr>
        <w:trPr>
          <w:trHeight w:val="222"/>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Baris Oran</w:t>
            </w:r>
          </w:p>
        </w:tc>
      </w:tr>
      <w:tr>
        <w:trPr>
          <w:trHeight w:val="229"/>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3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0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7"/>
              </w:rPr>
              <w:t>Title</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20"/>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Malcolm Wilson</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6"/>
              </w:rPr>
              <w:t>Malcolm Wilson</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(Principal Executive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Baris Oran</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0"/>
              </w:rPr>
              <w:t>Baris Oran</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Financial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Paul Blanchett</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Accounting Officer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1"/>
              </w:rPr>
              <w:t>Paul Blanchett</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(Principal Accounting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Brad Jacobs</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87"/>
              </w:rPr>
              <w:t>Brad Jacobs</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(Chairman)</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Marlene Colucci</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2"/>
              </w:rPr>
              <w:t>Marlene Colucci</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(Vice Chair)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Oren Shaffer</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1"/>
              </w:rPr>
              <w:t>Oren Shaffer</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(Lead Independent Director)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Gena Ashe</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88"/>
              </w:rPr>
              <w:t>Gena Ashe</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Clare Chatfield</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2"/>
              </w:rPr>
              <w:t>Clare Chatfield</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Joli L. Gross</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1"/>
              </w:rPr>
              <w:t>Joli L. Gross</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9"/>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Jason Papastavrou</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15, 2023</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8"/>
                <w:szCs w:val="18"/>
                <w:color w:val="auto"/>
                <w:w w:val="85"/>
              </w:rPr>
              <w:t>Jason Papastavrou</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80"/>
          </w:cols>
          <w:pgMar w:left="360" w:top="1440" w:right="7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21.1</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b w:val="1"/>
                <w:bCs w:val="1"/>
                <w:color w:val="auto"/>
              </w:rPr>
              <w:t>Subsidiaries of GXO Logistics, Inc.</w:t>
            </w:r>
          </w:p>
        </w:tc>
      </w:tr>
      <w:tr>
        <w:trPr>
          <w:trHeight w:val="76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240" w:type="dxa"/>
            <w:vAlign w:val="bottom"/>
            <w:tcBorders>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of Incorporation</w:t>
            </w:r>
          </w:p>
        </w:tc>
      </w:tr>
      <w:tr>
        <w:trPr>
          <w:trHeight w:val="222"/>
        </w:trPr>
        <w:tc>
          <w:tcPr>
            <w:tcW w:w="4000" w:type="dxa"/>
            <w:vAlign w:val="bottom"/>
          </w:tcPr>
          <w:p>
            <w:pPr>
              <w:ind w:left="20"/>
              <w:spacing w:after="0"/>
              <w:rPr>
                <w:sz w:val="20"/>
                <w:szCs w:val="20"/>
                <w:color w:val="auto"/>
              </w:rPr>
            </w:pPr>
            <w:r>
              <w:rPr>
                <w:rFonts w:ascii="Arial" w:cs="Arial" w:eastAsia="Arial" w:hAnsi="Arial"/>
                <w:sz w:val="18"/>
                <w:szCs w:val="18"/>
                <w:color w:val="auto"/>
              </w:rPr>
              <w:t>GXO Logistics, Inc.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GXO Enterprise Services, LLC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GXO Logistics Europe SAS</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9"/>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UK Limited</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Scotland</w:t>
            </w: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Netherlands BV</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9"/>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Netherlands III BV</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9"/>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Spain SL</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France SAS</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9"/>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Italy SPA</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GXO Logistics UK II Limited</w:t>
            </w:r>
          </w:p>
        </w:tc>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4000" w:type="dxa"/>
            <w:vAlign w:val="bottom"/>
          </w:tcPr>
          <w:p>
            <w:pPr>
              <w:ind w:left="680"/>
              <w:spacing w:after="0"/>
              <w:rPr>
                <w:sz w:val="20"/>
                <w:szCs w:val="20"/>
                <w:color w:val="auto"/>
              </w:rPr>
            </w:pPr>
            <w:r>
              <w:rPr>
                <w:rFonts w:ascii="Arial" w:cs="Arial" w:eastAsia="Arial" w:hAnsi="Arial"/>
                <w:sz w:val="18"/>
                <w:szCs w:val="18"/>
                <w:color w:val="auto"/>
              </w:rPr>
              <w:t>Northern Commercials (Mirfield) Limited</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GXO Logistics Finance, LLC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GXO Logistics Worldwide Holding Company, LLC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Worldwide, LLC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Services UK Limited</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GXO Logistics Holding Company</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GXO Logistics Supply Chain, Inc.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North Carolina</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GXO Holdings II, Inc.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GXO Holdings III, Inc.</w:t>
            </w:r>
          </w:p>
        </w:tc>
        <w:tc>
          <w:tcPr>
            <w:tcW w:w="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GXO Warehouse Company, Inc.</w:t>
            </w:r>
          </w:p>
        </w:tc>
        <w:tc>
          <w:tcPr>
            <w:tcW w:w="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Iowa</w:t>
            </w:r>
          </w:p>
        </w:tc>
      </w:tr>
    </w:tbl>
    <w:p>
      <w:pPr>
        <w:spacing w:after="0" w:line="3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names of certain consolidated subsidiaries that do not constitute a significant subsidiary have been omitted. Entities directly owned by subsidiaries of GXO Logistics, Inc. are indented and listed below their immediate parent. Ownership is 100% unless otherwise indicated.</w:t>
      </w:r>
    </w:p>
    <w:p>
      <w:pPr>
        <w:sectPr>
          <w:pgSz w:w="11900" w:h="16838" w:orient="portrait"/>
          <w:cols w:equalWidth="0" w:num="1">
            <w:col w:w="11240"/>
          </w:cols>
          <w:pgMar w:left="320" w:top="141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 333-259217) on Form S-3ASR, (333-264901) on Form S-4, and (333-258653) on Form S-8 of our report dated February 15, 2023, with respect to the consolidated financial statements of GXO Logistics, Inc. and the effectiveness of internal control over financial reporting.</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ectPr>
          <w:pgSz w:w="11900" w:h="16838" w:orient="portrait"/>
          <w:cols w:equalWidth="0" w:num="1">
            <w:col w:w="11240"/>
          </w:cols>
          <w:pgMar w:left="320" w:top="141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Malcolm Wilson, certify that:</w:t>
      </w:r>
    </w:p>
    <w:p>
      <w:pPr>
        <w:spacing w:after="0" w:line="23" w:lineRule="exact"/>
        <w:rPr>
          <w:sz w:val="20"/>
          <w:szCs w:val="20"/>
          <w:color w:val="auto"/>
        </w:rPr>
      </w:pPr>
    </w:p>
    <w:p>
      <w:pPr>
        <w:ind w:left="440" w:hanging="189"/>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GXO Logistics, Inc.;</w:t>
      </w:r>
    </w:p>
    <w:p>
      <w:pPr>
        <w:spacing w:after="0" w:line="9" w:lineRule="exact"/>
        <w:rPr>
          <w:rFonts w:ascii="Arial" w:cs="Arial" w:eastAsia="Arial" w:hAnsi="Arial"/>
          <w:sz w:val="18"/>
          <w:szCs w:val="18"/>
          <w:color w:val="auto"/>
        </w:rPr>
      </w:pPr>
    </w:p>
    <w:p>
      <w:pPr>
        <w:jc w:val="both"/>
        <w:ind w:left="420" w:right="340" w:hanging="169"/>
        <w:spacing w:after="0" w:line="250" w:lineRule="auto"/>
        <w:tabs>
          <w:tab w:leader="none" w:pos="4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420" w:right="300" w:hanging="169"/>
        <w:spacing w:after="0" w:line="265" w:lineRule="auto"/>
        <w:tabs>
          <w:tab w:leader="none" w:pos="4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420" w:right="340" w:hanging="169"/>
        <w:spacing w:after="0" w:line="250" w:lineRule="auto"/>
        <w:tabs>
          <w:tab w:leader="none" w:pos="4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060" w:right="160" w:hanging="242"/>
        <w:spacing w:after="0" w:line="250" w:lineRule="auto"/>
        <w:tabs>
          <w:tab w:leader="none" w:pos="10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060" w:right="280" w:hanging="242"/>
        <w:spacing w:after="0" w:line="250" w:lineRule="auto"/>
        <w:tabs>
          <w:tab w:leader="none" w:pos="10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60" w:right="460" w:hanging="242"/>
        <w:spacing w:after="0" w:line="281" w:lineRule="auto"/>
        <w:tabs>
          <w:tab w:leader="none" w:pos="10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60" w:right="160" w:hanging="242"/>
        <w:spacing w:after="0" w:line="250" w:lineRule="auto"/>
        <w:tabs>
          <w:tab w:leader="none" w:pos="10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420" w:right="40" w:hanging="169"/>
        <w:spacing w:after="0" w:line="265" w:lineRule="auto"/>
        <w:tabs>
          <w:tab w:leader="none" w:pos="4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60" w:right="700" w:hanging="242"/>
        <w:spacing w:after="0" w:line="281" w:lineRule="auto"/>
        <w:tabs>
          <w:tab w:leader="none" w:pos="10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60" w:right="380" w:hanging="242"/>
        <w:spacing w:after="0" w:line="260" w:lineRule="auto"/>
        <w:tabs>
          <w:tab w:leader="none" w:pos="10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15, 2023</w:t>
      </w:r>
    </w:p>
    <w:p>
      <w:pPr>
        <w:sectPr>
          <w:pgSz w:w="11900" w:h="16838" w:orient="portrait"/>
          <w:cols w:equalWidth="0" w:num="1">
            <w:col w:w="11240"/>
          </w:cols>
          <w:pgMar w:left="320" w:top="141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Baris Oran, certify that:</w:t>
      </w:r>
    </w:p>
    <w:p>
      <w:pPr>
        <w:spacing w:after="0" w:line="23" w:lineRule="exact"/>
        <w:rPr>
          <w:sz w:val="20"/>
          <w:szCs w:val="20"/>
          <w:color w:val="auto"/>
        </w:rPr>
      </w:pPr>
    </w:p>
    <w:p>
      <w:pPr>
        <w:ind w:left="440" w:hanging="189"/>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GXO Logistics, Inc.;</w:t>
      </w:r>
    </w:p>
    <w:p>
      <w:pPr>
        <w:spacing w:after="0" w:line="9" w:lineRule="exact"/>
        <w:rPr>
          <w:rFonts w:ascii="Arial" w:cs="Arial" w:eastAsia="Arial" w:hAnsi="Arial"/>
          <w:sz w:val="18"/>
          <w:szCs w:val="18"/>
          <w:color w:val="auto"/>
        </w:rPr>
      </w:pPr>
    </w:p>
    <w:p>
      <w:pPr>
        <w:jc w:val="both"/>
        <w:ind w:left="420" w:right="340" w:hanging="169"/>
        <w:spacing w:after="0" w:line="250" w:lineRule="auto"/>
        <w:tabs>
          <w:tab w:leader="none" w:pos="4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420" w:right="300" w:hanging="169"/>
        <w:spacing w:after="0" w:line="265" w:lineRule="auto"/>
        <w:tabs>
          <w:tab w:leader="none" w:pos="4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420" w:right="340" w:hanging="169"/>
        <w:spacing w:after="0" w:line="250" w:lineRule="auto"/>
        <w:tabs>
          <w:tab w:leader="none" w:pos="4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060" w:right="160" w:hanging="242"/>
        <w:spacing w:after="0" w:line="250" w:lineRule="auto"/>
        <w:tabs>
          <w:tab w:leader="none" w:pos="10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060" w:right="280" w:hanging="242"/>
        <w:spacing w:after="0" w:line="250" w:lineRule="auto"/>
        <w:tabs>
          <w:tab w:leader="none" w:pos="10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60" w:right="460" w:hanging="242"/>
        <w:spacing w:after="0" w:line="281" w:lineRule="auto"/>
        <w:tabs>
          <w:tab w:leader="none" w:pos="10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60" w:right="160" w:hanging="242"/>
        <w:spacing w:after="0" w:line="250" w:lineRule="auto"/>
        <w:tabs>
          <w:tab w:leader="none" w:pos="10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420" w:right="40" w:hanging="169"/>
        <w:spacing w:after="0" w:line="265" w:lineRule="auto"/>
        <w:tabs>
          <w:tab w:leader="none" w:pos="4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60" w:right="700" w:hanging="242"/>
        <w:spacing w:after="0" w:line="281" w:lineRule="auto"/>
        <w:tabs>
          <w:tab w:leader="none" w:pos="10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60" w:right="380" w:hanging="242"/>
        <w:spacing w:after="0" w:line="260" w:lineRule="auto"/>
        <w:tabs>
          <w:tab w:leader="none" w:pos="10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Baris Oran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15, 2023</w:t>
      </w:r>
    </w:p>
    <w:p>
      <w:pPr>
        <w:sectPr>
          <w:pgSz w:w="11900" w:h="16838" w:orient="portrait"/>
          <w:cols w:equalWidth="0" w:num="1">
            <w:col w:w="11240"/>
          </w:cols>
          <w:pgMar w:left="320" w:top="141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ind w:right="280" w:firstLine="445"/>
        <w:spacing w:after="0" w:line="291" w:lineRule="auto"/>
        <w:rPr>
          <w:sz w:val="20"/>
          <w:szCs w:val="20"/>
          <w:color w:val="auto"/>
        </w:rPr>
      </w:pPr>
      <w:r>
        <w:rPr>
          <w:rFonts w:ascii="Arial" w:cs="Arial" w:eastAsia="Arial" w:hAnsi="Arial"/>
          <w:sz w:val="16"/>
          <w:szCs w:val="16"/>
          <w:color w:val="auto"/>
        </w:rPr>
        <w:t>Solely for the purposes of complying with 18 U.S.C. Section 1350 as adopted pursuant to Section 906 of the Sarbanes-Oxley Act of 2002, I, the undersigned Chief Executive Officer of GXO Logistics, Inc. (the “Company”), hereby certify, based on my knowledge, that the Annual Report on Form</w:t>
      </w:r>
    </w:p>
    <w:p>
      <w:pPr>
        <w:ind w:right="20"/>
        <w:spacing w:after="0" w:line="255" w:lineRule="auto"/>
        <w:rPr>
          <w:sz w:val="20"/>
          <w:szCs w:val="20"/>
          <w:color w:val="auto"/>
        </w:rPr>
      </w:pPr>
      <w:r>
        <w:rPr>
          <w:rFonts w:ascii="Arial" w:cs="Arial" w:eastAsia="Arial" w:hAnsi="Arial"/>
          <w:sz w:val="18"/>
          <w:szCs w:val="18"/>
          <w:color w:val="auto"/>
        </w:rPr>
        <w:t>10-K of the Company for the year ended December 31,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15, 2023</w:t>
      </w:r>
    </w:p>
    <w:p>
      <w:pPr>
        <w:sectPr>
          <w:pgSz w:w="11900" w:h="16838" w:orient="portrait"/>
          <w:cols w:equalWidth="0" w:num="1">
            <w:col w:w="11240"/>
          </w:cols>
          <w:pgMar w:left="320" w:top="141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GXO Logistics, Inc. (the “Company”), hereby certify, based on my knowledge, that the Annual Report on Form 10-K of the Company for the year ended December 31,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6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Baris Oran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15, 2023</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5"/>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27" Type="http://schemas.openxmlformats.org/officeDocument/2006/relationships/image" Target="media/image105.png"/><Relationship Id="rId145"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35" Type="http://schemas.openxmlformats.org/officeDocument/2006/relationships/hyperlink" Target="https://www.sec.gov/ix?doc=/Archives/edgar/data/1852244/000185224422000010/gxo-20211231.htm#i6146ae586ea5460c9eb7e93a6da24026_40" TargetMode="External"/><Relationship Id="rId113" Type="http://schemas.openxmlformats.org/officeDocument/2006/relationships/hyperlink" Target="https://www.sec.gov/Archives/edgar/data/0001852244/000162828021015181/exhibit21-form8xkgxoxpo.htm" TargetMode="External"/><Relationship Id="rId114" Type="http://schemas.openxmlformats.org/officeDocument/2006/relationships/hyperlink" Target="https://www.sec.gov/Archives/edgar/data/1852244/000110465922028661/tm227857d1_ex2-1.htm" TargetMode="External"/><Relationship Id="rId115" Type="http://schemas.openxmlformats.org/officeDocument/2006/relationships/hyperlink" Target="https://www.sec.gov/Archives/edgar/data/1852244/000110465922028661/tm227857d1_ex2-2.htm" TargetMode="External"/><Relationship Id="rId116" Type="http://schemas.openxmlformats.org/officeDocument/2006/relationships/hyperlink" Target="https://www.sec.gov/Archives/edgar/data/0001852244/000162828021015181/exhibit31-8xkgxo.htm" TargetMode="External"/><Relationship Id="rId117" Type="http://schemas.openxmlformats.org/officeDocument/2006/relationships/hyperlink" Target="https://www.sec.gov/Archives/edgar/data/0001852244/000162828021015181/exhibit32-8xkgxo.htm" TargetMode="External"/><Relationship Id="rId118" Type="http://schemas.openxmlformats.org/officeDocument/2006/relationships/hyperlink" Target="https://www.sec.gov/Archives/edgar/data/1852244/000162828021013619/exhibit41-form10a.htm" TargetMode="External"/><Relationship Id="rId119" Type="http://schemas.openxmlformats.org/officeDocument/2006/relationships/hyperlink" Target="https://www.sec.gov/Archives/edgar/data/1852244/000162828021013619/exhibit42-form10a.htm" TargetMode="External"/><Relationship Id="rId120" Type="http://schemas.openxmlformats.org/officeDocument/2006/relationships/hyperlink" Target="https://www.sec.gov/Archives/edgar/data/0001852244/000110465921122086/tm2127876d1_ex4-1.htm" TargetMode="External"/><Relationship Id="rId121" Type="http://schemas.openxmlformats.org/officeDocument/2006/relationships/hyperlink" Target="https://www.sec.gov/Archives/edgar/data/1852244/000185224422000010/descriptionofsecurities.htm" TargetMode="External"/><Relationship Id="rId122" Type="http://schemas.openxmlformats.org/officeDocument/2006/relationships/hyperlink" Target="https://www.sec.gov/Archives/edgar/data/0001852244/000162828021015181/exhibit102-form8xkgxoxpo.htm" TargetMode="External"/><Relationship Id="rId123" Type="http://schemas.openxmlformats.org/officeDocument/2006/relationships/hyperlink" Target="https://www.sec.gov/Archives/edgar/data/0001852244/000162828021015181/exhibit103-form8kgxoxpo.htm" TargetMode="External"/><Relationship Id="rId124" Type="http://schemas.openxmlformats.org/officeDocument/2006/relationships/hyperlink" Target="https://www.sec.gov/Archives/edgar/data/0001852244/000162828021015181/exhibit104-form8xkgxoxpo.htm" TargetMode="External"/><Relationship Id="rId125" Type="http://schemas.openxmlformats.org/officeDocument/2006/relationships/hyperlink" Target="https://www.sec.gov/Archives/edgar/data/0001852244/000162828021015181/exhibit105-form8xkgxo.htm" TargetMode="External"/><Relationship Id="rId126" Type="http://schemas.openxmlformats.org/officeDocument/2006/relationships/hyperlink" Target="https://www.sec.gov/Archives/edgar/data/0001852244/000162828021015181/exhibit106-form8xkgxo.htm" TargetMode="External"/><Relationship Id="rId128" Type="http://schemas.openxmlformats.org/officeDocument/2006/relationships/hyperlink" Target="https://www.sec.gov/Archives/edgar/data/0001852244/000162828021011851/exhibit102-form10.htm" TargetMode="External"/><Relationship Id="rId129" Type="http://schemas.openxmlformats.org/officeDocument/2006/relationships/hyperlink" Target="https://www.sec.gov/Archives/edgar/data/1852244/000185224422000020/gxoformrsuagreement.htm" TargetMode="External"/><Relationship Id="rId130" Type="http://schemas.openxmlformats.org/officeDocument/2006/relationships/hyperlink" Target="https://www.sec.gov/Archives/edgar/data/1852244/000185224421000007/gxo-formofdirectorrsuagree.htm" TargetMode="External"/><Relationship Id="rId131" Type="http://schemas.openxmlformats.org/officeDocument/2006/relationships/hyperlink" Target="https://www.sec.gov/Archives/edgar/data/1852244/000185224421000007/gxo-formofrsuagreement.htm" TargetMode="External"/><Relationship Id="rId132" Type="http://schemas.openxmlformats.org/officeDocument/2006/relationships/hyperlink" Target="https://www.sec.gov/Archives/edgar/data/1852244/000185224422000020/gxoformpsuagreement.htm" TargetMode="External"/><Relationship Id="rId133" Type="http://schemas.openxmlformats.org/officeDocument/2006/relationships/hyperlink" Target="https://www.sec.gov/Archives/edgar/data/0001852244/000162828021015181/exhibit107-form8xkgxo.htm" TargetMode="External"/><Relationship Id="rId134" Type="http://schemas.openxmlformats.org/officeDocument/2006/relationships/hyperlink" Target="https://www.sec.gov/Archives/edgar/data/0001852244/000162828021011851/exhibit107-form10.htm" TargetMode="External"/><Relationship Id="rId135" Type="http://schemas.openxmlformats.org/officeDocument/2006/relationships/hyperlink" Target="https://www.sec.gov/Archives/edgar/data/0001852244/000162828021011851/exhibit108-form10.htm" TargetMode="External"/><Relationship Id="rId136" Type="http://schemas.openxmlformats.org/officeDocument/2006/relationships/hyperlink" Target="https://www.sec.gov/Archives/edgar/data/0001852244/000162828021011851/exhibit1010-form10.htm" TargetMode="External"/><Relationship Id="rId137" Type="http://schemas.openxmlformats.org/officeDocument/2006/relationships/hyperlink" Target="https://www.sec.gov/Archives/edgar/data/0001852244/000162828021011851/exhibit1011-form10.htm" TargetMode="External"/><Relationship Id="rId138" Type="http://schemas.openxmlformats.org/officeDocument/2006/relationships/hyperlink" Target="https://www.sec.gov/Archives/edgar/data/0001852244/000162828021013619/exhibit1012-form10.htm" TargetMode="External"/><Relationship Id="rId139" Type="http://schemas.openxmlformats.org/officeDocument/2006/relationships/hyperlink" Target="https://www.sec.gov/Archives/edgar/data/1852244/000162828021013885/exhibit1016-form10a2.htm" TargetMode="External"/><Relationship Id="rId140" Type="http://schemas.openxmlformats.org/officeDocument/2006/relationships/hyperlink" Target="https://www.sec.gov/Archives/edgar/data/1852244/000162828021013885/exhibit1014-form10a2.htm" TargetMode="External"/><Relationship Id="rId141" Type="http://schemas.openxmlformats.org/officeDocument/2006/relationships/hyperlink" Target="https://www.sec.gov/Archives/edgar/data/1852244/000162828021013885/exhibit1015-form10a2.htm" TargetMode="External"/><Relationship Id="rId142" Type="http://schemas.openxmlformats.org/officeDocument/2006/relationships/hyperlink" Target="https://www.sec.gov/Archives/edgar/data/0001852244/000162828021011851/exhibit109-form10.htm" TargetMode="External"/><Relationship Id="rId143" Type="http://schemas.openxmlformats.org/officeDocument/2006/relationships/hyperlink" Target="https://www.sec.gov/Archives/edgar/data/1852244/000185224421000007/offerletterbetweengxologis.htm" TargetMode="External"/><Relationship Id="rId144" Type="http://schemas.openxmlformats.org/officeDocument/2006/relationships/hyperlink" Target="https://www.sec.gov/Archives/edgar/data/1852244/000110465922028661/tm227857d1_ex10-01.htm" TargetMode="External"/><Relationship Id="rId146" Type="http://schemas.openxmlformats.org/officeDocument/2006/relationships/hyperlink" Target="https://www.sec.gov/Archives/edgar/data/1852244/000162828021013619/exhibit1013-form10a.htm" TargetMode="External"/><Relationship Id="rId147" Type="http://schemas.openxmlformats.org/officeDocument/2006/relationships/hyperlink" Target="https://www.sec.gov/Archives/edgar/data/1852244/000110465922036782/tm2210032d1_ex10-1.htm" TargetMode="External"/><Relationship Id="rId148" Type="http://schemas.openxmlformats.org/officeDocument/2006/relationships/hyperlink" Target="https://www.sec.gov/Archives/edgar/data/1852244/000110465922065355/tm221692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2023-02-16T05:15:36Z</dcterms:created>
  <dcterms:modified xsi:type="dcterms:W3CDTF">2023-02-16T05:15:36Z</dcterms:modified>
</cp:coreProperties>
</file>