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Arial" w:cs="Arial" w:eastAsia="Arial" w:hAnsi="Arial"/>
          <w:sz w:val="18"/>
          <w:szCs w:val="18"/>
          <w:b w:val="1"/>
          <w:bCs w:val="1"/>
          <w:color w:val="auto"/>
        </w:rPr>
        <w:t>UNITED STATES</w:t>
      </w:r>
    </w:p>
    <w:p>
      <w:pPr>
        <w:ind w:left="3680"/>
        <w:spacing w:after="0" w:line="237"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line="203" w:lineRule="auto"/>
        <w:rPr>
          <w:sz w:val="20"/>
          <w:szCs w:val="20"/>
          <w:color w:val="auto"/>
        </w:rPr>
      </w:pPr>
      <w:r>
        <w:rPr>
          <w:rFonts w:ascii="Arial" w:cs="Arial" w:eastAsia="Arial" w:hAnsi="Arial"/>
          <w:sz w:val="18"/>
          <w:szCs w:val="18"/>
          <w:b w:val="1"/>
          <w:bCs w:val="1"/>
          <w:color w:val="auto"/>
        </w:rPr>
        <w:t>Washington, D.C. 20549</w:t>
      </w:r>
    </w:p>
    <w:p>
      <w:pPr>
        <w:ind w:left="3160"/>
        <w:spacing w:after="0" w:line="204" w:lineRule="auto"/>
        <w:rPr>
          <w:sz w:val="20"/>
          <w:szCs w:val="20"/>
          <w:color w:val="auto"/>
        </w:rPr>
      </w:pPr>
      <w:r>
        <w:rPr>
          <w:rFonts w:ascii="Arial" w:cs="Arial" w:eastAsia="Arial" w:hAnsi="Arial"/>
          <w:sz w:val="18"/>
          <w:szCs w:val="18"/>
          <w:b w:val="1"/>
          <w:bCs w:val="1"/>
          <w:color w:val="auto"/>
        </w:rPr>
        <w:t>_______________________________________________________</w:t>
      </w:r>
    </w:p>
    <w:p>
      <w:pPr>
        <w:jc w:val="center"/>
        <w:spacing w:after="0" w:line="187" w:lineRule="auto"/>
        <w:rPr>
          <w:sz w:val="20"/>
          <w:szCs w:val="20"/>
          <w:color w:val="auto"/>
        </w:rPr>
      </w:pPr>
      <w:r>
        <w:rPr>
          <w:rFonts w:ascii="Arial" w:cs="Arial" w:eastAsia="Arial" w:hAnsi="Arial"/>
          <w:sz w:val="15"/>
          <w:szCs w:val="15"/>
          <w:b w:val="1"/>
          <w:bCs w:val="1"/>
          <w:color w:val="auto"/>
        </w:rPr>
        <w:t>FORM 10-Q</w:t>
      </w:r>
    </w:p>
    <w:p>
      <w:pPr>
        <w:ind w:left="3160"/>
        <w:spacing w:after="0" w:line="207" w:lineRule="auto"/>
        <w:rPr>
          <w:sz w:val="20"/>
          <w:szCs w:val="20"/>
          <w:color w:val="auto"/>
        </w:rPr>
      </w:pPr>
      <w:r>
        <w:rPr>
          <w:rFonts w:ascii="Arial" w:cs="Arial" w:eastAsia="Arial" w:hAnsi="Arial"/>
          <w:sz w:val="18"/>
          <w:szCs w:val="18"/>
          <w:b w:val="1"/>
          <w:bCs w:val="1"/>
          <w:color w:val="auto"/>
        </w:rPr>
        <w:t>_______________________________________________________</w:t>
      </w:r>
    </w:p>
    <w:p>
      <w:pPr>
        <w:spacing w:after="0"/>
        <w:rPr>
          <w:sz w:val="20"/>
          <w:szCs w:val="20"/>
          <w:color w:val="auto"/>
        </w:rPr>
      </w:pPr>
      <w:r>
        <w:rPr>
          <w:rFonts w:ascii="Arial" w:cs="Arial" w:eastAsia="Arial" w:hAnsi="Arial"/>
          <w:sz w:val="16"/>
          <w:szCs w:val="16"/>
          <w:b w:val="1"/>
          <w:bCs w:val="1"/>
          <w:color w:val="auto"/>
        </w:rPr>
        <w:t>(Mark One)</w:t>
      </w:r>
    </w:p>
    <w:p>
      <w:pPr>
        <w:spacing w:after="0" w:line="23" w:lineRule="exact"/>
        <w:rPr>
          <w:sz w:val="24"/>
          <w:szCs w:val="24"/>
          <w:color w:val="auto"/>
        </w:rPr>
      </w:pPr>
    </w:p>
    <w:p>
      <w:pPr>
        <w:ind w:left="280" w:hanging="254"/>
        <w:spacing w:after="0"/>
        <w:tabs>
          <w:tab w:leader="none" w:pos="2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0" w:lineRule="exact"/>
        <w:rPr>
          <w:sz w:val="24"/>
          <w:szCs w:val="24"/>
          <w:color w:val="auto"/>
        </w:rPr>
      </w:pPr>
    </w:p>
    <w:p>
      <w:pPr>
        <w:ind w:left="280" w:hanging="254"/>
        <w:spacing w:after="0"/>
        <w:tabs>
          <w:tab w:leader="none" w:pos="2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001-40470</w:t>
      </w:r>
    </w:p>
    <w:p>
      <w:pPr>
        <w:spacing w:after="0" w:line="9"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5715</wp:posOffset>
            </wp:positionV>
            <wp:extent cx="9258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83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76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____________________________________________________________________________________________________________</w:t>
      </w:r>
    </w:p>
    <w:p>
      <w:pPr>
        <w:spacing w:after="0" w:line="43" w:lineRule="exact"/>
        <w:rPr>
          <w:sz w:val="24"/>
          <w:szCs w:val="24"/>
          <w:color w:val="auto"/>
        </w:rPr>
      </w:pPr>
    </w:p>
    <w:tbl>
      <w:tblPr>
        <w:tblLayout w:type="fixed"/>
        <w:tblInd w:w="640" w:type="dxa"/>
        <w:tblCellMar>
          <w:top w:w="0" w:type="dxa"/>
          <w:left w:w="0" w:type="dxa"/>
          <w:bottom w:w="0" w:type="dxa"/>
          <w:right w:w="0" w:type="dxa"/>
        </w:tblCellMar>
      </w:tblPr>
      <w:tr>
        <w:trPr>
          <w:trHeight w:val="233"/>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4740" w:type="dxa"/>
            <w:vAlign w:val="bottom"/>
          </w:tcPr>
          <w:p>
            <w:pPr>
              <w:jc w:val="right"/>
              <w:ind w:right="770"/>
              <w:spacing w:after="0"/>
              <w:rPr>
                <w:sz w:val="20"/>
                <w:szCs w:val="20"/>
                <w:color w:val="auto"/>
              </w:rPr>
            </w:pPr>
            <w:r>
              <w:rPr>
                <w:rFonts w:ascii="Arial" w:cs="Arial" w:eastAsia="Arial" w:hAnsi="Arial"/>
                <w:sz w:val="18"/>
                <w:szCs w:val="18"/>
                <w:b w:val="1"/>
                <w:bCs w:val="1"/>
                <w:color w:val="auto"/>
              </w:rPr>
              <w:t>86-2098312</w:t>
            </w:r>
          </w:p>
        </w:tc>
      </w:tr>
      <w:tr>
        <w:trPr>
          <w:trHeight w:val="225"/>
        </w:trPr>
        <w:tc>
          <w:tcPr>
            <w:tcW w:w="43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740" w:type="dxa"/>
            <w:vAlign w:val="bottom"/>
          </w:tcPr>
          <w:p>
            <w:pPr>
              <w:jc w:val="center"/>
              <w:ind w:left="205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1"/>
              </w:rPr>
              <w:t>Two American Lane</w:t>
            </w:r>
          </w:p>
        </w:tc>
        <w:tc>
          <w:tcPr>
            <w:tcW w:w="4740" w:type="dxa"/>
            <w:vAlign w:val="bottom"/>
          </w:tcPr>
          <w:p>
            <w:pPr>
              <w:spacing w:after="0"/>
              <w:rPr>
                <w:sz w:val="19"/>
                <w:szCs w:val="19"/>
                <w:color w:val="auto"/>
              </w:rPr>
            </w:pPr>
          </w:p>
        </w:tc>
      </w:tr>
      <w:tr>
        <w:trPr>
          <w:trHeight w:val="233"/>
        </w:trPr>
        <w:tc>
          <w:tcPr>
            <w:tcW w:w="4360" w:type="dxa"/>
            <w:vAlign w:val="bottom"/>
          </w:tcPr>
          <w:p>
            <w:pPr>
              <w:jc w:val="center"/>
              <w:spacing w:after="0"/>
              <w:rPr>
                <w:sz w:val="20"/>
                <w:szCs w:val="20"/>
                <w:color w:val="auto"/>
              </w:rPr>
            </w:pPr>
            <w:r>
              <w:rPr>
                <w:rFonts w:ascii="Arial" w:cs="Arial" w:eastAsia="Arial" w:hAnsi="Arial"/>
                <w:sz w:val="18"/>
                <w:szCs w:val="18"/>
                <w:b w:val="1"/>
                <w:bCs w:val="1"/>
                <w:color w:val="auto"/>
                <w:w w:val="90"/>
              </w:rPr>
              <w:t>Greenwich, Connecticut</w:t>
            </w:r>
          </w:p>
        </w:tc>
        <w:tc>
          <w:tcPr>
            <w:tcW w:w="4740" w:type="dxa"/>
            <w:vAlign w:val="bottom"/>
          </w:tcPr>
          <w:p>
            <w:pPr>
              <w:jc w:val="right"/>
              <w:ind w:right="990"/>
              <w:spacing w:after="0"/>
              <w:rPr>
                <w:sz w:val="20"/>
                <w:szCs w:val="20"/>
                <w:color w:val="auto"/>
              </w:rPr>
            </w:pPr>
            <w:r>
              <w:rPr>
                <w:rFonts w:ascii="Arial" w:cs="Arial" w:eastAsia="Arial" w:hAnsi="Arial"/>
                <w:sz w:val="18"/>
                <w:szCs w:val="18"/>
                <w:b w:val="1"/>
                <w:bCs w:val="1"/>
                <w:color w:val="auto"/>
              </w:rPr>
              <w:t>06831</w:t>
            </w:r>
          </w:p>
        </w:tc>
      </w:tr>
      <w:tr>
        <w:trPr>
          <w:trHeight w:val="230"/>
        </w:trPr>
        <w:tc>
          <w:tcPr>
            <w:tcW w:w="43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740" w:type="dxa"/>
            <w:vAlign w:val="bottom"/>
          </w:tcPr>
          <w:p>
            <w:pPr>
              <w:jc w:val="center"/>
              <w:ind w:left="2050"/>
              <w:spacing w:after="0"/>
              <w:rPr>
                <w:sz w:val="20"/>
                <w:szCs w:val="20"/>
                <w:color w:val="auto"/>
              </w:rPr>
            </w:pPr>
            <w:r>
              <w:rPr>
                <w:rFonts w:ascii="Arial" w:cs="Arial" w:eastAsia="Arial" w:hAnsi="Arial"/>
                <w:sz w:val="18"/>
                <w:szCs w:val="18"/>
                <w:color w:val="auto"/>
                <w:w w:val="94"/>
              </w:rPr>
              <w:t>(Zip Code)</w:t>
            </w:r>
          </w:p>
        </w:tc>
      </w:tr>
      <w:tr>
        <w:trPr>
          <w:trHeight w:val="311"/>
        </w:trPr>
        <w:tc>
          <w:tcPr>
            <w:tcW w:w="4360" w:type="dxa"/>
            <w:vAlign w:val="bottom"/>
          </w:tcPr>
          <w:p>
            <w:pPr>
              <w:spacing w:after="0"/>
              <w:rPr>
                <w:sz w:val="24"/>
                <w:szCs w:val="24"/>
                <w:color w:val="auto"/>
              </w:rPr>
            </w:pPr>
          </w:p>
        </w:tc>
        <w:tc>
          <w:tcPr>
            <w:tcW w:w="4740" w:type="dxa"/>
            <w:vAlign w:val="bottom"/>
          </w:tcPr>
          <w:p>
            <w:pPr>
              <w:jc w:val="right"/>
              <w:ind w:right="3470"/>
              <w:spacing w:after="0"/>
              <w:rPr>
                <w:sz w:val="20"/>
                <w:szCs w:val="20"/>
                <w:color w:val="auto"/>
              </w:rPr>
            </w:pPr>
            <w:r>
              <w:rPr>
                <w:rFonts w:ascii="Arial" w:cs="Arial" w:eastAsia="Arial" w:hAnsi="Arial"/>
                <w:sz w:val="18"/>
                <w:szCs w:val="18"/>
                <w:b w:val="1"/>
                <w:bCs w:val="1"/>
                <w:color w:val="auto"/>
                <w:w w:val="94"/>
              </w:rPr>
              <w:t>(203) 489-1287</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360" w:type="dxa"/>
            <w:vAlign w:val="bottom"/>
            <w:gridSpan w:val="2"/>
          </w:tcPr>
          <w:p>
            <w:pPr>
              <w:ind w:left="1620"/>
              <w:spacing w:after="0"/>
              <w:rPr>
                <w:sz w:val="20"/>
                <w:szCs w:val="20"/>
                <w:color w:val="auto"/>
              </w:rPr>
            </w:pPr>
            <w:r>
              <w:rPr>
                <w:rFonts w:ascii="Arial" w:cs="Arial" w:eastAsia="Arial" w:hAnsi="Arial"/>
                <w:sz w:val="14"/>
                <w:szCs w:val="14"/>
                <w:color w:val="auto"/>
              </w:rPr>
              <w:t>Title of each class</w:t>
            </w:r>
          </w:p>
        </w:tc>
        <w:tc>
          <w:tcPr>
            <w:tcW w:w="258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Trading Symbol(s)</w:t>
            </w:r>
          </w:p>
        </w:tc>
        <w:tc>
          <w:tcPr>
            <w:tcW w:w="4300" w:type="dxa"/>
            <w:vAlign w:val="bottom"/>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86"/>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Common stock, par value $0.01 per share</w:t>
            </w:r>
          </w:p>
        </w:tc>
        <w:tc>
          <w:tcPr>
            <w:tcW w:w="80" w:type="dxa"/>
            <w:vAlign w:val="bottom"/>
          </w:tcPr>
          <w:p>
            <w:pPr>
              <w:spacing w:after="0"/>
              <w:rPr>
                <w:sz w:val="16"/>
                <w:szCs w:val="16"/>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GXO</w:t>
            </w:r>
          </w:p>
        </w:tc>
        <w:tc>
          <w:tcPr>
            <w:tcW w:w="80" w:type="dxa"/>
            <w:vAlign w:val="bottom"/>
          </w:tcPr>
          <w:p>
            <w:pPr>
              <w:spacing w:after="0"/>
              <w:rPr>
                <w:sz w:val="16"/>
                <w:szCs w:val="16"/>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New York Stock Exchange</w:t>
            </w:r>
          </w:p>
        </w:tc>
      </w:tr>
    </w:tbl>
    <w:p>
      <w:pPr>
        <w:spacing w:after="0" w:line="312"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1560" w:type="dxa"/>
        <w:tblCellMar>
          <w:top w:w="0" w:type="dxa"/>
          <w:left w:w="0" w:type="dxa"/>
          <w:bottom w:w="0" w:type="dxa"/>
          <w:right w:w="0" w:type="dxa"/>
        </w:tblCellMar>
      </w:tblPr>
      <w:tr>
        <w:trPr>
          <w:trHeight w:val="277"/>
        </w:trPr>
        <w:tc>
          <w:tcPr>
            <w:tcW w:w="2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260"/>
              <w:spacing w:after="0"/>
              <w:rPr>
                <w:sz w:val="20"/>
                <w:szCs w:val="20"/>
                <w:color w:val="auto"/>
              </w:rPr>
            </w:pPr>
            <w:r>
              <w:rPr>
                <w:rFonts w:ascii="Arial" w:cs="Arial" w:eastAsia="Arial" w:hAnsi="Arial"/>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00" w:type="dxa"/>
            <w:vAlign w:val="bottom"/>
          </w:tcPr>
          <w:p>
            <w:pPr>
              <w:spacing w:after="0"/>
              <w:rPr>
                <w:sz w:val="20"/>
                <w:szCs w:val="20"/>
                <w:color w:val="auto"/>
              </w:rPr>
            </w:pPr>
            <w:r>
              <w:rPr>
                <w:rFonts w:ascii="Arial" w:cs="Arial" w:eastAsia="Arial" w:hAnsi="Arial"/>
                <w:sz w:val="18"/>
                <w:szCs w:val="18"/>
                <w:color w:val="auto"/>
              </w:rPr>
              <w:t>Non-accelerated filer</w:t>
            </w:r>
          </w:p>
        </w:tc>
        <w:tc>
          <w:tcPr>
            <w:tcW w:w="14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3040" w:type="dxa"/>
            <w:vAlign w:val="bottom"/>
          </w:tcPr>
          <w:p>
            <w:pPr>
              <w:ind w:left="26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40" w:type="dxa"/>
            <w:vAlign w:val="bottom"/>
          </w:tcPr>
          <w:p>
            <w:pPr>
              <w:ind w:left="260"/>
              <w:spacing w:after="0"/>
              <w:rPr>
                <w:sz w:val="20"/>
                <w:szCs w:val="20"/>
                <w:color w:val="auto"/>
              </w:rPr>
            </w:pPr>
            <w:r>
              <w:rPr>
                <w:rFonts w:ascii="Arial" w:cs="Arial" w:eastAsia="Arial" w:hAnsi="Arial"/>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August 1, 2022, there were 118,615,116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10-Q</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40" w:type="dxa"/>
            <w:vAlign w:val="bottom"/>
            <w:gridSpan w:val="3"/>
          </w:tcPr>
          <w:p>
            <w:pPr>
              <w:ind w:left="1740"/>
              <w:spacing w:after="0"/>
              <w:rPr>
                <w:sz w:val="20"/>
                <w:szCs w:val="20"/>
                <w:color w:val="auto"/>
              </w:rPr>
            </w:pPr>
            <w:r>
              <w:rPr>
                <w:rFonts w:ascii="Arial" w:cs="Arial" w:eastAsia="Arial" w:hAnsi="Arial"/>
                <w:sz w:val="14"/>
                <w:szCs w:val="14"/>
                <w:b w:val="1"/>
                <w:bCs w:val="1"/>
                <w:color w:val="auto"/>
                <w:w w:val="83"/>
              </w:rPr>
              <w:t>Page</w:t>
            </w:r>
          </w:p>
        </w:tc>
      </w:tr>
      <w:tr>
        <w:trPr>
          <w:trHeight w:val="194"/>
        </w:trPr>
        <w:tc>
          <w:tcPr>
            <w:tcW w:w="8980" w:type="dxa"/>
            <w:vAlign w:val="bottom"/>
            <w:gridSpan w:val="19"/>
          </w:tcPr>
          <w:p>
            <w:pPr>
              <w:spacing w:after="0" w:line="194" w:lineRule="exact"/>
              <w:rPr>
                <w:rFonts w:ascii="Arial" w:cs="Arial" w:eastAsia="Arial" w:hAnsi="Arial"/>
                <w:sz w:val="18"/>
                <w:szCs w:val="18"/>
                <w:b w:val="1"/>
                <w:bCs w:val="1"/>
                <w:color w:val="3051F2"/>
              </w:rPr>
            </w:pPr>
            <w:hyperlink w:anchor="page2">
              <w:r>
                <w:rPr>
                  <w:rFonts w:ascii="Arial" w:cs="Arial" w:eastAsia="Arial" w:hAnsi="Arial"/>
                  <w:sz w:val="18"/>
                  <w:szCs w:val="18"/>
                  <w:b w:val="1"/>
                  <w:bCs w:val="1"/>
                  <w:color w:val="3051F2"/>
                </w:rPr>
                <w:t>Part I—Financial Information</w:t>
              </w:r>
            </w:hyperlink>
          </w:p>
        </w:tc>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22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940" w:type="dxa"/>
            <w:vAlign w:val="bottom"/>
            <w:gridSpan w:val="2"/>
            <w:shd w:val="clear" w:color="auto" w:fill="3051F2"/>
          </w:tcPr>
          <w:p>
            <w:pPr>
              <w:spacing w:after="0" w:line="20" w:lineRule="exact"/>
              <w:rPr>
                <w:sz w:val="1"/>
                <w:szCs w:val="1"/>
                <w:color w:val="auto"/>
              </w:rPr>
            </w:pPr>
          </w:p>
        </w:tc>
        <w:tc>
          <w:tcPr>
            <w:tcW w:w="44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298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 Financial Statements (Unaudited)</w:t>
              </w:r>
            </w:hyperlink>
          </w:p>
        </w:tc>
        <w:tc>
          <w:tcPr>
            <w:tcW w:w="5780" w:type="dxa"/>
            <w:vAlign w:val="bottom"/>
            <w:gridSpan w:val="9"/>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w:t>
              </w:r>
            </w:hyperlink>
          </w:p>
        </w:tc>
        <w:tc>
          <w:tcPr>
            <w:tcW w:w="4880" w:type="dxa"/>
            <w:vAlign w:val="bottom"/>
            <w:gridSpan w:val="7"/>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4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Comprehensive Income (Loss)</w:t>
              </w:r>
            </w:hyperlink>
          </w:p>
        </w:tc>
        <w:tc>
          <w:tcPr>
            <w:tcW w:w="1980" w:type="dxa"/>
            <w:vAlign w:val="bottom"/>
            <w:gridSpan w:val="2"/>
          </w:tcPr>
          <w:p>
            <w:pPr>
              <w:jc w:val="center"/>
              <w:ind w:left="1712"/>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Condensed Consolidated Balance Sheets</w:t>
              </w:r>
            </w:hyperlink>
          </w:p>
        </w:tc>
        <w:tc>
          <w:tcPr>
            <w:tcW w:w="2140" w:type="dxa"/>
            <w:vAlign w:val="bottom"/>
            <w:tcBorders>
              <w:top w:val="single" w:sz="8" w:color="0000FF"/>
            </w:tcBorders>
            <w:gridSpan w:val="6"/>
          </w:tcPr>
          <w:p>
            <w:pPr>
              <w:spacing w:after="0"/>
              <w:rPr>
                <w:sz w:val="18"/>
                <w:szCs w:val="18"/>
                <w:color w:val="auto"/>
              </w:rPr>
            </w:pPr>
          </w:p>
        </w:tc>
        <w:tc>
          <w:tcPr>
            <w:tcW w:w="346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2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w:t>
              </w:r>
            </w:hyperlink>
          </w:p>
        </w:tc>
        <w:tc>
          <w:tcPr>
            <w:tcW w:w="4820" w:type="dxa"/>
            <w:vAlign w:val="bottom"/>
            <w:gridSpan w:val="6"/>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Changes in Equity</w:t>
              </w:r>
            </w:hyperlink>
          </w:p>
        </w:tc>
        <w:tc>
          <w:tcPr>
            <w:tcW w:w="4340" w:type="dxa"/>
            <w:vAlign w:val="bottom"/>
            <w:gridSpan w:val="4"/>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6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tcBorders>
              <w:bottom w:val="single" w:sz="8" w:color="0000FF"/>
            </w:tcBorders>
            <w:gridSpan w:val="12"/>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Notes to Condensed Consolidated Financial Statements</w:t>
              </w:r>
            </w:hyperlink>
          </w:p>
        </w:tc>
        <w:tc>
          <w:tcPr>
            <w:tcW w:w="4540" w:type="dxa"/>
            <w:vAlign w:val="bottom"/>
            <w:gridSpan w:val="5"/>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8</w:t>
              </w:r>
            </w:hyperlink>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7020" w:type="dxa"/>
            <w:vAlign w:val="bottom"/>
            <w:gridSpan w:val="17"/>
          </w:tcPr>
          <w:p>
            <w:pPr>
              <w:spacing w:after="0"/>
              <w:rPr>
                <w:rFonts w:ascii="Arial" w:cs="Arial" w:eastAsia="Arial" w:hAnsi="Arial"/>
                <w:sz w:val="18"/>
                <w:szCs w:val="18"/>
                <w:color w:val="0000FF"/>
                <w:w w:val="91"/>
              </w:rPr>
            </w:pPr>
            <w:hyperlink w:anchor="page21">
              <w:r>
                <w:rPr>
                  <w:rFonts w:ascii="Arial" w:cs="Arial" w:eastAsia="Arial" w:hAnsi="Arial"/>
                  <w:sz w:val="18"/>
                  <w:szCs w:val="18"/>
                  <w:color w:val="0000FF"/>
                  <w:w w:val="91"/>
                </w:rPr>
                <w:t>Item 2. Management’s Discussion and Analysis of Financial Condition and Results of Operations</w:t>
              </w:r>
            </w:hyperlink>
          </w:p>
        </w:tc>
        <w:tc>
          <w:tcPr>
            <w:tcW w:w="1740" w:type="dxa"/>
            <w:vAlign w:val="bottom"/>
          </w:tcPr>
          <w:p>
            <w:pPr>
              <w:spacing w:after="0"/>
              <w:rPr>
                <w:sz w:val="18"/>
                <w:szCs w:val="18"/>
                <w:color w:val="auto"/>
              </w:rPr>
            </w:pPr>
          </w:p>
        </w:tc>
        <w:tc>
          <w:tcPr>
            <w:tcW w:w="1980" w:type="dxa"/>
            <w:vAlign w:val="bottom"/>
            <w:gridSpan w:val="2"/>
          </w:tcPr>
          <w:p>
            <w:pPr>
              <w:jc w:val="center"/>
              <w:ind w:left="1712"/>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21</w:t>
              </w:r>
            </w:hyperlink>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29">
              <w:r>
                <w:rPr>
                  <w:rFonts w:ascii="Arial" w:cs="Arial" w:eastAsia="Arial" w:hAnsi="Arial"/>
                  <w:sz w:val="18"/>
                  <w:szCs w:val="18"/>
                  <w:color w:val="0000FF"/>
                  <w:w w:val="94"/>
                </w:rPr>
                <w:t>Item 3.</w:t>
              </w:r>
            </w:hyperlink>
          </w:p>
        </w:tc>
        <w:tc>
          <w:tcPr>
            <w:tcW w:w="4380" w:type="dxa"/>
            <w:vAlign w:val="bottom"/>
            <w:gridSpan w:val="13"/>
          </w:tcPr>
          <w:p>
            <w:pPr>
              <w:ind w:left="20"/>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18"/>
                <w:szCs w:val="18"/>
                <w:color w:val="auto"/>
              </w:rPr>
            </w:pPr>
          </w:p>
        </w:tc>
        <w:tc>
          <w:tcPr>
            <w:tcW w:w="1740" w:type="dxa"/>
            <w:vAlign w:val="bottom"/>
          </w:tcPr>
          <w:p>
            <w:pPr>
              <w:spacing w:after="0"/>
              <w:rPr>
                <w:sz w:val="18"/>
                <w:szCs w:val="18"/>
                <w:color w:val="auto"/>
              </w:rPr>
            </w:pPr>
          </w:p>
        </w:tc>
        <w:tc>
          <w:tcPr>
            <w:tcW w:w="1980" w:type="dxa"/>
            <w:vAlign w:val="bottom"/>
            <w:gridSpan w:val="2"/>
          </w:tcPr>
          <w:p>
            <w:pPr>
              <w:jc w:val="center"/>
              <w:ind w:left="1712"/>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600" w:type="dxa"/>
            <w:vAlign w:val="bottom"/>
            <w:gridSpan w:val="7"/>
            <w:shd w:val="clear" w:color="auto" w:fill="0000FF"/>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0">
              <w:r>
                <w:rPr>
                  <w:rFonts w:ascii="Arial" w:cs="Arial" w:eastAsia="Arial" w:hAnsi="Arial"/>
                  <w:sz w:val="18"/>
                  <w:szCs w:val="18"/>
                  <w:color w:val="0000FF"/>
                  <w:w w:val="94"/>
                </w:rPr>
                <w:t>Item 4.</w:t>
              </w:r>
            </w:hyperlink>
          </w:p>
        </w:tc>
        <w:tc>
          <w:tcPr>
            <w:tcW w:w="4380" w:type="dxa"/>
            <w:vAlign w:val="bottom"/>
            <w:gridSpan w:val="13"/>
          </w:tcPr>
          <w:p>
            <w:pPr>
              <w:ind w:left="20"/>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3840" w:type="dxa"/>
            <w:vAlign w:val="bottom"/>
            <w:gridSpan w:val="3"/>
          </w:tcPr>
          <w:p>
            <w:pPr>
              <w:spacing w:after="0"/>
              <w:rPr>
                <w:sz w:val="18"/>
                <w:szCs w:val="18"/>
                <w:color w:val="auto"/>
              </w:rPr>
            </w:pPr>
          </w:p>
        </w:tc>
        <w:tc>
          <w:tcPr>
            <w:tcW w:w="1980" w:type="dxa"/>
            <w:vAlign w:val="bottom"/>
            <w:gridSpan w:val="2"/>
          </w:tcPr>
          <w:p>
            <w:pPr>
              <w:jc w:val="center"/>
              <w:ind w:left="1712"/>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29</w:t>
              </w:r>
            </w:hyperlink>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440" w:type="dxa"/>
            <w:vAlign w:val="bottom"/>
            <w:gridSpan w:val="10"/>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160" w:type="dxa"/>
            <w:vAlign w:val="bottom"/>
            <w:tcBorders>
              <w:bottom w:val="single" w:sz="8" w:color="3051F2"/>
            </w:tcBorders>
            <w:gridSpan w:val="7"/>
          </w:tcPr>
          <w:p>
            <w:pPr>
              <w:spacing w:after="0"/>
              <w:rPr>
                <w:rFonts w:ascii="Arial" w:cs="Arial" w:eastAsia="Arial" w:hAnsi="Arial"/>
                <w:sz w:val="18"/>
                <w:szCs w:val="18"/>
                <w:b w:val="1"/>
                <w:bCs w:val="1"/>
                <w:color w:val="3051F2"/>
                <w:w w:val="97"/>
              </w:rPr>
            </w:pPr>
            <w:hyperlink w:anchor="page31">
              <w:r>
                <w:rPr>
                  <w:rFonts w:ascii="Arial" w:cs="Arial" w:eastAsia="Arial" w:hAnsi="Arial"/>
                  <w:sz w:val="18"/>
                  <w:szCs w:val="18"/>
                  <w:b w:val="1"/>
                  <w:bCs w:val="1"/>
                  <w:color w:val="3051F2"/>
                  <w:w w:val="97"/>
                </w:rPr>
                <w:t xml:space="preserve">Part </w:t>
              </w:r>
            </w:hyperlink>
            <w:r>
              <w:rPr>
                <w:rFonts w:ascii="Arial" w:cs="Arial" w:eastAsia="Arial" w:hAnsi="Arial"/>
                <w:sz w:val="18"/>
                <w:szCs w:val="18"/>
                <w:b w:val="1"/>
                <w:bCs w:val="1"/>
                <w:color w:val="3051F2"/>
                <w:w w:val="97"/>
              </w:rPr>
              <w:t xml:space="preserve">II—Other </w:t>
            </w:r>
            <w:hyperlink w:anchor="page31">
              <w:r>
                <w:rPr>
                  <w:rFonts w:ascii="Arial" w:cs="Arial" w:eastAsia="Arial" w:hAnsi="Arial"/>
                  <w:sz w:val="18"/>
                  <w:szCs w:val="18"/>
                  <w:b w:val="1"/>
                  <w:bCs w:val="1"/>
                  <w:color w:val="3051F2"/>
                  <w:w w:val="97"/>
                </w:rPr>
                <w:t>Information</w:t>
              </w:r>
            </w:hyperlink>
          </w:p>
        </w:tc>
        <w:tc>
          <w:tcPr>
            <w:tcW w:w="6820" w:type="dxa"/>
            <w:vAlign w:val="bottom"/>
            <w:gridSpan w:val="12"/>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2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2">
              <w:r>
                <w:rPr>
                  <w:rFonts w:ascii="Arial" w:cs="Arial" w:eastAsia="Arial" w:hAnsi="Arial"/>
                  <w:sz w:val="18"/>
                  <w:szCs w:val="18"/>
                  <w:color w:val="0000FF"/>
                  <w:w w:val="94"/>
                </w:rPr>
                <w:t>Item 1.</w:t>
              </w:r>
            </w:hyperlink>
          </w:p>
        </w:tc>
        <w:tc>
          <w:tcPr>
            <w:tcW w:w="1360" w:type="dxa"/>
            <w:vAlign w:val="bottom"/>
            <w:gridSpan w:val="3"/>
          </w:tcPr>
          <w:p>
            <w:pPr>
              <w:ind w:left="20"/>
              <w:spacing w:after="0"/>
              <w:rPr>
                <w:rFonts w:ascii="Arial" w:cs="Arial" w:eastAsia="Arial" w:hAnsi="Arial"/>
                <w:sz w:val="18"/>
                <w:szCs w:val="18"/>
                <w:color w:val="0000FF"/>
                <w:w w:val="88"/>
              </w:rPr>
            </w:pPr>
            <w:hyperlink w:anchor="page32">
              <w:r>
                <w:rPr>
                  <w:rFonts w:ascii="Arial" w:cs="Arial" w:eastAsia="Arial" w:hAnsi="Arial"/>
                  <w:sz w:val="18"/>
                  <w:szCs w:val="18"/>
                  <w:color w:val="0000FF"/>
                  <w:w w:val="88"/>
                </w:rPr>
                <w:t>Legal Proceedings</w:t>
              </w:r>
            </w:hyperlink>
          </w:p>
        </w:tc>
        <w:tc>
          <w:tcPr>
            <w:tcW w:w="6860" w:type="dxa"/>
            <w:vAlign w:val="bottom"/>
            <w:gridSpan w:val="13"/>
          </w:tcPr>
          <w:p>
            <w:pPr>
              <w:spacing w:after="0"/>
              <w:rPr>
                <w:sz w:val="18"/>
                <w:szCs w:val="18"/>
                <w:color w:val="auto"/>
              </w:rPr>
            </w:pPr>
          </w:p>
        </w:tc>
        <w:tc>
          <w:tcPr>
            <w:tcW w:w="1980" w:type="dxa"/>
            <w:vAlign w:val="bottom"/>
            <w:gridSpan w:val="2"/>
          </w:tcPr>
          <w:p>
            <w:pPr>
              <w:jc w:val="center"/>
              <w:ind w:left="1712"/>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60" w:type="dxa"/>
            <w:vAlign w:val="bottom"/>
            <w:gridSpan w:val="13"/>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600" w:type="dxa"/>
            <w:vAlign w:val="bottom"/>
            <w:gridSpan w:val="4"/>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Item 1A. Risk Factors</w:t>
              </w:r>
            </w:hyperlink>
          </w:p>
        </w:tc>
        <w:tc>
          <w:tcPr>
            <w:tcW w:w="300" w:type="dxa"/>
            <w:vAlign w:val="bottom"/>
          </w:tcPr>
          <w:p>
            <w:pPr>
              <w:spacing w:after="0"/>
              <w:rPr>
                <w:sz w:val="18"/>
                <w:szCs w:val="18"/>
                <w:color w:val="auto"/>
              </w:rPr>
            </w:pPr>
          </w:p>
        </w:tc>
        <w:tc>
          <w:tcPr>
            <w:tcW w:w="6860" w:type="dxa"/>
            <w:vAlign w:val="bottom"/>
            <w:gridSpan w:val="13"/>
          </w:tcPr>
          <w:p>
            <w:pPr>
              <w:spacing w:after="0"/>
              <w:rPr>
                <w:sz w:val="18"/>
                <w:szCs w:val="18"/>
                <w:color w:val="auto"/>
              </w:rPr>
            </w:pPr>
          </w:p>
        </w:tc>
        <w:tc>
          <w:tcPr>
            <w:tcW w:w="1980" w:type="dxa"/>
            <w:vAlign w:val="bottom"/>
            <w:gridSpan w:val="2"/>
          </w:tcPr>
          <w:p>
            <w:pPr>
              <w:jc w:val="center"/>
              <w:ind w:left="1712"/>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160" w:type="dxa"/>
            <w:vAlign w:val="bottom"/>
            <w:gridSpan w:val="14"/>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40" w:type="dxa"/>
            <w:vAlign w:val="bottom"/>
            <w:gridSpan w:val="2"/>
          </w:tcPr>
          <w:p>
            <w:pPr>
              <w:spacing w:after="0"/>
              <w:rPr>
                <w:rFonts w:ascii="Arial" w:cs="Arial" w:eastAsia="Arial" w:hAnsi="Arial"/>
                <w:sz w:val="18"/>
                <w:szCs w:val="18"/>
                <w:color w:val="0000FF"/>
                <w:w w:val="94"/>
              </w:rPr>
            </w:pPr>
            <w:hyperlink w:anchor="page32">
              <w:r>
                <w:rPr>
                  <w:rFonts w:ascii="Arial" w:cs="Arial" w:eastAsia="Arial" w:hAnsi="Arial"/>
                  <w:sz w:val="18"/>
                  <w:szCs w:val="18"/>
                  <w:color w:val="0000FF"/>
                  <w:w w:val="94"/>
                </w:rPr>
                <w:t>Item 6.</w:t>
              </w:r>
            </w:hyperlink>
          </w:p>
        </w:tc>
        <w:tc>
          <w:tcPr>
            <w:tcW w:w="620" w:type="dxa"/>
            <w:vAlign w:val="bottom"/>
          </w:tcPr>
          <w:p>
            <w:pPr>
              <w:ind w:left="20"/>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Exhibits</w:t>
              </w:r>
            </w:hyperlink>
          </w:p>
        </w:tc>
        <w:tc>
          <w:tcPr>
            <w:tcW w:w="440" w:type="dxa"/>
            <w:vAlign w:val="bottom"/>
          </w:tcPr>
          <w:p>
            <w:pPr>
              <w:spacing w:after="0"/>
              <w:rPr>
                <w:sz w:val="18"/>
                <w:szCs w:val="18"/>
                <w:color w:val="auto"/>
              </w:rPr>
            </w:pPr>
          </w:p>
        </w:tc>
        <w:tc>
          <w:tcPr>
            <w:tcW w:w="7160" w:type="dxa"/>
            <w:vAlign w:val="bottom"/>
            <w:gridSpan w:val="14"/>
          </w:tcPr>
          <w:p>
            <w:pPr>
              <w:spacing w:after="0"/>
              <w:rPr>
                <w:sz w:val="18"/>
                <w:szCs w:val="18"/>
                <w:color w:val="auto"/>
              </w:rPr>
            </w:pPr>
          </w:p>
        </w:tc>
        <w:tc>
          <w:tcPr>
            <w:tcW w:w="1980" w:type="dxa"/>
            <w:vAlign w:val="bottom"/>
            <w:gridSpan w:val="2"/>
          </w:tcPr>
          <w:p>
            <w:pPr>
              <w:jc w:val="center"/>
              <w:ind w:left="1712"/>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60" w:type="dxa"/>
            <w:vAlign w:val="bottom"/>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600" w:type="dxa"/>
            <w:vAlign w:val="bottom"/>
            <w:gridSpan w:val="15"/>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98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Signatures</w:t>
              </w:r>
            </w:hyperlink>
          </w:p>
        </w:tc>
        <w:tc>
          <w:tcPr>
            <w:tcW w:w="1980" w:type="dxa"/>
            <w:vAlign w:val="bottom"/>
            <w:gridSpan w:val="2"/>
          </w:tcPr>
          <w:p>
            <w:pPr>
              <w:jc w:val="center"/>
              <w:ind w:left="1712"/>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60" w:type="dxa"/>
            <w:vAlign w:val="bottom"/>
          </w:tcPr>
          <w:p>
            <w:pPr>
              <w:spacing w:after="0"/>
              <w:rPr>
                <w:sz w:val="18"/>
                <w:szCs w:val="18"/>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1440"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2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13"/>
        </w:trPr>
        <w:tc>
          <w:tcPr>
            <w:tcW w:w="608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5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3,704</w:t>
            </w:r>
          </w:p>
        </w:tc>
      </w:tr>
      <w:tr>
        <w:trPr>
          <w:trHeight w:val="213"/>
        </w:trPr>
        <w:tc>
          <w:tcPr>
            <w:tcW w:w="6080" w:type="dxa"/>
            <w:vAlign w:val="bottom"/>
            <w:gridSpan w:val="2"/>
          </w:tcPr>
          <w:p>
            <w:pPr>
              <w:ind w:left="240"/>
              <w:spacing w:after="0"/>
              <w:rPr>
                <w:sz w:val="20"/>
                <w:szCs w:val="20"/>
                <w:color w:val="auto"/>
              </w:rPr>
            </w:pPr>
            <w:r>
              <w:rPr>
                <w:rFonts w:ascii="Arial" w:cs="Arial" w:eastAsia="Arial" w:hAnsi="Arial"/>
                <w:sz w:val="16"/>
                <w:szCs w:val="16"/>
                <w:color w:val="auto"/>
              </w:rPr>
              <w:t>Direct operating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3,074</w:t>
            </w:r>
          </w:p>
        </w:tc>
      </w:tr>
      <w:tr>
        <w:trPr>
          <w:trHeight w:val="219"/>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Selling, general and administrative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r>
      <w:tr>
        <w:trPr>
          <w:trHeight w:val="213"/>
        </w:trPr>
        <w:tc>
          <w:tcPr>
            <w:tcW w:w="608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19"/>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Transaction and integration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3"/>
        </w:trPr>
        <w:tc>
          <w:tcPr>
            <w:tcW w:w="6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Restructuring costs (credits) and 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6080" w:type="dxa"/>
            <w:vAlign w:val="bottom"/>
            <w:gridSpan w:val="2"/>
          </w:tcPr>
          <w:p>
            <w:pPr>
              <w:ind w:left="24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7"/>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6"/>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9"/>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6"/>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attributable to GXO</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0"/>
        </w:trPr>
        <w:tc>
          <w:tcPr>
            <w:tcW w:w="5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3"/>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 per share data</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 earnings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r>
      <w:tr>
        <w:trPr>
          <w:trHeight w:val="213"/>
        </w:trPr>
        <w:tc>
          <w:tcPr>
            <w:tcW w:w="6080" w:type="dxa"/>
            <w:vAlign w:val="bottom"/>
            <w:gridSpan w:val="2"/>
          </w:tcPr>
          <w:p>
            <w:pPr>
              <w:ind w:left="24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0.22</w:t>
            </w:r>
          </w:p>
        </w:tc>
      </w:tr>
      <w:tr>
        <w:trPr>
          <w:trHeight w:val="273"/>
        </w:trPr>
        <w:tc>
          <w:tcPr>
            <w:tcW w:w="5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13"/>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6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Basic weighted-average common shares outstanding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114,626</w:t>
            </w:r>
          </w:p>
        </w:tc>
      </w:tr>
      <w:tr>
        <w:trPr>
          <w:trHeight w:val="210"/>
        </w:trPr>
        <w:tc>
          <w:tcPr>
            <w:tcW w:w="6080" w:type="dxa"/>
            <w:vAlign w:val="bottom"/>
            <w:gridSpan w:val="2"/>
          </w:tcPr>
          <w:p>
            <w:pPr>
              <w:ind w:left="240"/>
              <w:spacing w:after="0"/>
              <w:rPr>
                <w:sz w:val="20"/>
                <w:szCs w:val="20"/>
                <w:color w:val="auto"/>
              </w:rPr>
            </w:pPr>
            <w:r>
              <w:rPr>
                <w:rFonts w:ascii="Arial" w:cs="Arial" w:eastAsia="Arial" w:hAnsi="Arial"/>
                <w:sz w:val="16"/>
                <w:szCs w:val="16"/>
                <w:color w:val="auto"/>
              </w:rPr>
              <w:t>Diluted weighted-average common shares outstanding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116,646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114,626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116,111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114,626</w:t>
            </w:r>
          </w:p>
        </w:tc>
      </w:tr>
    </w:tbl>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ind w:left="340"/>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90</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400" w:right="720" w:hanging="161"/>
        <w:spacing w:after="0"/>
        <w:rPr>
          <w:sz w:val="20"/>
          <w:szCs w:val="20"/>
          <w:color w:val="auto"/>
        </w:rPr>
      </w:pPr>
      <w:r>
        <w:rPr>
          <w:rFonts w:ascii="Arial" w:cs="Arial" w:eastAsia="Arial" w:hAnsi="Arial"/>
          <w:sz w:val="16"/>
          <w:szCs w:val="16"/>
          <w:color w:val="auto"/>
        </w:rPr>
        <w:t>Foreign currency translation gain (loss), net of tax (expense) benefit of $(10), $(1), $(10), and $2,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400" w:right="400" w:hanging="161"/>
        <w:spacing w:after="0"/>
        <w:rPr>
          <w:sz w:val="20"/>
          <w:szCs w:val="20"/>
          <w:color w:val="auto"/>
        </w:rPr>
      </w:pPr>
      <w:r>
        <w:rPr>
          <w:rFonts w:ascii="Arial" w:cs="Arial" w:eastAsia="Arial" w:hAnsi="Arial"/>
          <w:sz w:val="16"/>
          <w:szCs w:val="16"/>
          <w:color w:val="auto"/>
        </w:rPr>
        <w:t>Unrealized gain (loss) on hedging instruments, net of tax (expense) benefit of $—, $—, $—, and $(1), respectively</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tabs>
          <w:tab w:leader="none" w:pos="1340" w:val="left"/>
          <w:tab w:leader="none" w:pos="2500" w:val="left"/>
          <w:tab w:leader="none" w:pos="3880" w:val="left"/>
        </w:tabs>
        <w:rPr>
          <w:sz w:val="20"/>
          <w:szCs w:val="20"/>
          <w:color w:val="auto"/>
        </w:rPr>
      </w:pPr>
      <w:r>
        <w:rPr>
          <w:rFonts w:ascii="Arial" w:cs="Arial" w:eastAsia="Arial" w:hAnsi="Arial"/>
          <w:sz w:val="16"/>
          <w:szCs w:val="16"/>
          <w:color w:val="auto"/>
        </w:rPr>
        <w:t>(75)</w:t>
      </w:r>
      <w:r>
        <w:rPr>
          <w:sz w:val="20"/>
          <w:szCs w:val="20"/>
          <w:color w:val="auto"/>
        </w:rPr>
        <w:tab/>
      </w:r>
      <w:r>
        <w:rPr>
          <w:rFonts w:ascii="Arial" w:cs="Arial" w:eastAsia="Arial" w:hAnsi="Arial"/>
          <w:sz w:val="16"/>
          <w:szCs w:val="16"/>
          <w:color w:val="auto"/>
        </w:rPr>
        <w:t>19</w:t>
      </w:r>
      <w:r>
        <w:rPr>
          <w:sz w:val="20"/>
          <w:szCs w:val="20"/>
          <w:color w:val="auto"/>
        </w:rPr>
        <w:tab/>
      </w:r>
      <w:r>
        <w:rPr>
          <w:rFonts w:ascii="Arial" w:cs="Arial" w:eastAsia="Arial" w:hAnsi="Arial"/>
          <w:sz w:val="16"/>
          <w:szCs w:val="16"/>
          <w:color w:val="auto"/>
        </w:rPr>
        <w:t>(120)</w:t>
      </w:r>
      <w:r>
        <w:rPr>
          <w:sz w:val="20"/>
          <w:szCs w:val="20"/>
          <w:color w:val="auto"/>
        </w:rPr>
        <w:tab/>
      </w:r>
      <w:r>
        <w:rPr>
          <w:rFonts w:ascii="Arial" w:cs="Arial" w:eastAsia="Arial" w:hAnsi="Arial"/>
          <w:sz w:val="15"/>
          <w:szCs w:val="15"/>
          <w:color w:val="auto"/>
        </w:rPr>
        <w:t>(26)</w:t>
      </w:r>
    </w:p>
    <w:p>
      <w:pPr>
        <w:spacing w:after="0" w:line="194" w:lineRule="exact"/>
        <w:rPr>
          <w:sz w:val="20"/>
          <w:szCs w:val="20"/>
          <w:color w:val="auto"/>
        </w:rPr>
      </w:pPr>
    </w:p>
    <w:p>
      <w:pPr>
        <w:ind w:left="60"/>
        <w:spacing w:after="0"/>
        <w:tabs>
          <w:tab w:leader="none" w:pos="1340" w:val="left"/>
          <w:tab w:leader="none" w:pos="2640" w:val="left"/>
          <w:tab w:leader="none" w:pos="39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w:t>
      </w:r>
    </w:p>
    <w:p>
      <w:pPr>
        <w:spacing w:after="0" w:line="103" w:lineRule="exact"/>
        <w:rPr>
          <w:sz w:val="20"/>
          <w:szCs w:val="20"/>
          <w:color w:val="auto"/>
        </w:rPr>
      </w:pPr>
    </w:p>
    <w:p>
      <w:pPr>
        <w:sectPr>
          <w:pgSz w:w="11900" w:h="16838" w:orient="portrait"/>
          <w:cols w:equalWidth="0" w:num="2">
            <w:col w:w="6320" w:space="720"/>
            <w:col w:w="420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center"/>
              <w:ind w:left="299"/>
              <w:spacing w:after="0"/>
              <w:rPr>
                <w:sz w:val="20"/>
                <w:szCs w:val="20"/>
                <w:color w:val="auto"/>
              </w:rPr>
            </w:pPr>
            <w:r>
              <w:rPr>
                <w:rFonts w:ascii="Arial" w:cs="Arial" w:eastAsia="Arial" w:hAnsi="Arial"/>
                <w:sz w:val="16"/>
                <w:szCs w:val="16"/>
                <w:color w:val="auto"/>
                <w:w w:val="98"/>
              </w:rPr>
              <w:t>(23)</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ind w:left="44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center"/>
              <w:ind w:left="279"/>
              <w:spacing w:after="0"/>
              <w:rPr>
                <w:sz w:val="20"/>
                <w:szCs w:val="20"/>
                <w:color w:val="auto"/>
              </w:rPr>
            </w:pPr>
            <w:r>
              <w:rPr>
                <w:rFonts w:ascii="Arial" w:cs="Arial" w:eastAsia="Arial" w:hAnsi="Arial"/>
                <w:sz w:val="16"/>
                <w:szCs w:val="16"/>
                <w:color w:val="auto"/>
                <w:w w:val="91"/>
              </w:rPr>
              <w:t>(30)</w:t>
            </w: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center"/>
              <w:ind w:left="379"/>
              <w:spacing w:after="0"/>
              <w:rPr>
                <w:sz w:val="20"/>
                <w:szCs w:val="20"/>
                <w:color w:val="auto"/>
              </w:rPr>
            </w:pPr>
            <w:r>
              <w:rPr>
                <w:rFonts w:ascii="Arial" w:cs="Arial" w:eastAsia="Arial" w:hAnsi="Arial"/>
                <w:sz w:val="16"/>
                <w:szCs w:val="16"/>
                <w:color w:val="auto"/>
                <w:w w:val="89"/>
              </w:rPr>
              <w:t>4</w:t>
            </w: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219"/>
              <w:spacing w:after="0"/>
              <w:rPr>
                <w:sz w:val="20"/>
                <w:szCs w:val="20"/>
                <w:color w:val="auto"/>
              </w:rPr>
            </w:pPr>
            <w:r>
              <w:rPr>
                <w:rFonts w:ascii="Arial" w:cs="Arial" w:eastAsia="Arial" w:hAnsi="Arial"/>
                <w:sz w:val="16"/>
                <w:szCs w:val="16"/>
                <w:color w:val="auto"/>
                <w:w w:val="99"/>
              </w:rPr>
              <w:t>—</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rPr>
              <w:t>(2)</w:t>
            </w:r>
          </w:p>
        </w:tc>
      </w:tr>
      <w:tr>
        <w:trPr>
          <w:trHeight w:val="207"/>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GXO</w:t>
            </w: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center"/>
              <w:ind w:left="299"/>
              <w:spacing w:after="0"/>
              <w:rPr>
                <w:sz w:val="20"/>
                <w:szCs w:val="20"/>
                <w:color w:val="auto"/>
              </w:rPr>
            </w:pPr>
            <w:r>
              <w:rPr>
                <w:rFonts w:ascii="Arial" w:cs="Arial" w:eastAsia="Arial" w:hAnsi="Arial"/>
                <w:sz w:val="16"/>
                <w:szCs w:val="16"/>
                <w:color w:val="auto"/>
                <w:w w:val="98"/>
              </w:rPr>
              <w:t>(23)</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center"/>
              <w:ind w:left="279"/>
              <w:spacing w:after="0"/>
              <w:rPr>
                <w:sz w:val="20"/>
                <w:szCs w:val="20"/>
                <w:color w:val="auto"/>
              </w:rPr>
            </w:pPr>
            <w:r>
              <w:rPr>
                <w:rFonts w:ascii="Arial" w:cs="Arial" w:eastAsia="Arial" w:hAnsi="Arial"/>
                <w:sz w:val="16"/>
                <w:szCs w:val="16"/>
                <w:color w:val="auto"/>
                <w:w w:val="91"/>
              </w:rPr>
              <w:t>(30)</w:t>
            </w:r>
          </w:p>
        </w:tc>
        <w:tc>
          <w:tcPr>
            <w:tcW w:w="8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center"/>
              <w:ind w:left="379"/>
              <w:spacing w:after="0"/>
              <w:rPr>
                <w:sz w:val="20"/>
                <w:szCs w:val="20"/>
                <w:color w:val="auto"/>
              </w:rPr>
            </w:pPr>
            <w:r>
              <w:rPr>
                <w:rFonts w:ascii="Arial" w:cs="Arial" w:eastAsia="Arial" w:hAnsi="Arial"/>
                <w:sz w:val="16"/>
                <w:szCs w:val="16"/>
                <w:color w:val="auto"/>
                <w:w w:val="89"/>
              </w:rPr>
              <w:t>6</w:t>
            </w:r>
          </w:p>
        </w:tc>
      </w:tr>
      <w:tr>
        <w:trPr>
          <w:trHeight w:val="23"/>
        </w:trPr>
        <w:tc>
          <w:tcPr>
            <w:tcW w:w="6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amounts)</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2021</w:t>
            </w:r>
          </w:p>
        </w:tc>
      </w:tr>
      <w:tr>
        <w:trPr>
          <w:trHeight w:val="213"/>
        </w:trPr>
        <w:tc>
          <w:tcPr>
            <w:tcW w:w="7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74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3"/>
        </w:trPr>
        <w:tc>
          <w:tcPr>
            <w:tcW w:w="7400" w:type="dxa"/>
            <w:vAlign w:val="bottom"/>
            <w:gridSpan w:val="2"/>
          </w:tcPr>
          <w:p>
            <w:pPr>
              <w:ind w:left="240"/>
              <w:spacing w:after="0"/>
              <w:rPr>
                <w:sz w:val="20"/>
                <w:szCs w:val="20"/>
                <w:color w:val="auto"/>
              </w:rPr>
            </w:pPr>
            <w:r>
              <w:rPr>
                <w:rFonts w:ascii="Arial" w:cs="Arial" w:eastAsia="Arial" w:hAnsi="Arial"/>
                <w:sz w:val="16"/>
                <w:szCs w:val="16"/>
                <w:color w:val="auto"/>
              </w:rPr>
              <w:t>Accounts receivable, net of allowances of $13 and $13, respectively</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1,560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1,507</w:t>
            </w:r>
          </w:p>
        </w:tc>
      </w:tr>
      <w:tr>
        <w:trPr>
          <w:trHeight w:val="219"/>
        </w:trPr>
        <w:tc>
          <w:tcPr>
            <w:tcW w:w="74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07"/>
        </w:trPr>
        <w:tc>
          <w:tcPr>
            <w:tcW w:w="740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current assets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2,099</w:t>
            </w:r>
          </w:p>
        </w:tc>
      </w:tr>
      <w:tr>
        <w:trPr>
          <w:trHeight w:val="19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Property and equipment, net of $1,172 and $1,128 in accumulated depreciation, respectively</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863</w:t>
            </w: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Operating lease assets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w:t>
            </w: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2,769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2,017</w:t>
            </w: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Intangible assets, net of $413 and $407 in accumulated amortization, respectively</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13"/>
        </w:trPr>
        <w:tc>
          <w:tcPr>
            <w:tcW w:w="7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212"/>
        </w:trPr>
        <w:tc>
          <w:tcPr>
            <w:tcW w:w="740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long-term assets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5,172</w:t>
            </w:r>
          </w:p>
        </w:tc>
      </w:tr>
      <w:tr>
        <w:trPr>
          <w:trHeight w:val="207"/>
        </w:trPr>
        <w:tc>
          <w:tcPr>
            <w:tcW w:w="7400" w:type="dxa"/>
            <w:vAlign w:val="bottom"/>
            <w:gridSpan w:val="2"/>
          </w:tcPr>
          <w:p>
            <w:pPr>
              <w:ind w:left="90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7,271</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86"/>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998</w:t>
            </w: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Short-term borrowings and obligations under finance leases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Current operating lease liabilities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07"/>
        </w:trPr>
        <w:tc>
          <w:tcPr>
            <w:tcW w:w="740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current liabilities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2,329</w:t>
            </w:r>
          </w:p>
        </w:tc>
      </w:tr>
      <w:tr>
        <w:trPr>
          <w:trHeight w:val="19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bl>
    <w:p>
      <w:pPr>
        <w:spacing w:after="0" w:line="4" w:lineRule="exact"/>
        <w:rPr>
          <w:sz w:val="20"/>
          <w:szCs w:val="20"/>
          <w:color w:val="auto"/>
        </w:rPr>
      </w:pPr>
    </w:p>
    <w:p>
      <w:pPr>
        <w:sectPr>
          <w:pgSz w:w="11900" w:h="16838" w:orient="portrait"/>
          <w:cols w:equalWidth="0" w:num="1">
            <w:col w:w="11240"/>
          </w:cols>
          <w:pgMar w:left="320" w:top="1417" w:right="339" w:bottom="1440" w:gutter="0" w:footer="0" w:header="0"/>
        </w:sectPr>
      </w:pPr>
    </w:p>
    <w:p>
      <w:pPr>
        <w:ind w:left="260"/>
        <w:spacing w:after="0"/>
        <w:rPr>
          <w:sz w:val="20"/>
          <w:szCs w:val="20"/>
          <w:color w:val="auto"/>
        </w:rPr>
      </w:pPr>
      <w:r>
        <w:rPr>
          <w:rFonts w:ascii="Arial" w:cs="Arial" w:eastAsia="Arial" w:hAnsi="Arial"/>
          <w:sz w:val="16"/>
          <w:szCs w:val="16"/>
          <w:color w:val="auto"/>
        </w:rPr>
        <w:t>Long-term debt and obligations under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Long-term operating lease liabilities</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long-term liabilities</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Total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Commitments and contingencies (Note 11)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420" w:right="60" w:hanging="161"/>
        <w:spacing w:after="0"/>
        <w:rPr>
          <w:sz w:val="20"/>
          <w:szCs w:val="20"/>
          <w:color w:val="auto"/>
        </w:rPr>
      </w:pPr>
      <w:r>
        <w:rPr>
          <w:rFonts w:ascii="Arial" w:cs="Arial" w:eastAsia="Arial" w:hAnsi="Arial"/>
          <w:sz w:val="16"/>
          <w:szCs w:val="16"/>
          <w:color w:val="auto"/>
        </w:rPr>
        <w:t>Common Stock, $0.01 par value per share; 300,000 shares authorized, 118,610 and 114,659 shares issued and outstanding as of June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420" w:hanging="161"/>
        <w:spacing w:after="0"/>
        <w:rPr>
          <w:sz w:val="20"/>
          <w:szCs w:val="20"/>
          <w:color w:val="auto"/>
        </w:rPr>
      </w:pPr>
      <w:r>
        <w:rPr>
          <w:rFonts w:ascii="Arial" w:cs="Arial" w:eastAsia="Arial" w:hAnsi="Arial"/>
          <w:sz w:val="16"/>
          <w:szCs w:val="16"/>
          <w:color w:val="auto"/>
        </w:rPr>
        <w:t>Preferred Stock, $0.01 par value per share; 10,000 shares authorized, 0 shares issued and outstanding as of June 30, 2022 and December 31, 2021, respectively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860" w:type="dxa"/>
            <w:vAlign w:val="bottom"/>
          </w:tcPr>
          <w:p>
            <w:pPr>
              <w:jc w:val="right"/>
              <w:spacing w:after="0"/>
              <w:rPr>
                <w:sz w:val="20"/>
                <w:szCs w:val="20"/>
                <w:color w:val="auto"/>
              </w:rPr>
            </w:pPr>
            <w:r>
              <w:rPr>
                <w:rFonts w:ascii="Arial" w:cs="Arial" w:eastAsia="Arial" w:hAnsi="Arial"/>
                <w:sz w:val="16"/>
                <w:szCs w:val="16"/>
                <w:color w:val="auto"/>
              </w:rPr>
              <w:t>1,801</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927</w:t>
            </w:r>
          </w:p>
        </w:tc>
      </w:tr>
      <w:tr>
        <w:trPr>
          <w:trHeight w:val="216"/>
        </w:trPr>
        <w:tc>
          <w:tcPr>
            <w:tcW w:w="1860" w:type="dxa"/>
            <w:vAlign w:val="bottom"/>
          </w:tcPr>
          <w:p>
            <w:pPr>
              <w:jc w:val="right"/>
              <w:spacing w:after="0"/>
              <w:rPr>
                <w:sz w:val="20"/>
                <w:szCs w:val="20"/>
                <w:color w:val="auto"/>
              </w:rPr>
            </w:pPr>
            <w:r>
              <w:rPr>
                <w:rFonts w:ascii="Arial" w:cs="Arial" w:eastAsia="Arial" w:hAnsi="Arial"/>
                <w:sz w:val="16"/>
                <w:szCs w:val="16"/>
                <w:color w:val="auto"/>
              </w:rPr>
              <w:t>1,570</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1,391</w:t>
            </w:r>
          </w:p>
        </w:tc>
      </w:tr>
      <w:tr>
        <w:trPr>
          <w:trHeight w:val="219"/>
        </w:trPr>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209"/>
        </w:trPr>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3,781</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w:t>
            </w:r>
          </w:p>
        </w:tc>
      </w:tr>
      <w:tr>
        <w:trPr>
          <w:trHeight w:val="706"/>
        </w:trPr>
        <w:tc>
          <w:tcPr>
            <w:tcW w:w="1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78"/>
        </w:trPr>
        <w:tc>
          <w:tcPr>
            <w:tcW w:w="1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90" w:lineRule="exact"/>
        <w:rPr>
          <w:sz w:val="20"/>
          <w:szCs w:val="20"/>
          <w:color w:val="auto"/>
        </w:rPr>
      </w:pPr>
    </w:p>
    <w:p>
      <w:pPr>
        <w:sectPr>
          <w:pgSz w:w="11900" w:h="16838" w:orient="portrait"/>
          <w:cols w:equalWidth="0" w:num="2">
            <w:col w:w="7160" w:space="240"/>
            <w:col w:w="3840"/>
          </w:cols>
          <w:pgMar w:left="320" w:top="1417"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40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7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2,561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2,354</w:t>
            </w:r>
          </w:p>
        </w:tc>
      </w:tr>
      <w:tr>
        <w:trPr>
          <w:trHeight w:val="219"/>
        </w:trPr>
        <w:tc>
          <w:tcPr>
            <w:tcW w:w="7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Retained earnings</w:t>
            </w:r>
          </w:p>
        </w:tc>
        <w:tc>
          <w:tcPr>
            <w:tcW w:w="7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3"/>
        </w:trPr>
        <w:tc>
          <w:tcPr>
            <w:tcW w:w="7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Accumulated other comprehensive loss</w:t>
            </w:r>
          </w:p>
        </w:tc>
        <w:tc>
          <w:tcPr>
            <w:tcW w:w="7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13"/>
        </w:trPr>
        <w:tc>
          <w:tcPr>
            <w:tcW w:w="740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stockholders’ equity before noncontrolling interests</w:t>
            </w:r>
          </w:p>
        </w:tc>
        <w:tc>
          <w:tcPr>
            <w:tcW w:w="7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w:t>
            </w:r>
          </w:p>
        </w:tc>
      </w:tr>
      <w:tr>
        <w:trPr>
          <w:trHeight w:val="207"/>
        </w:trPr>
        <w:tc>
          <w:tcPr>
            <w:tcW w:w="74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Noncontrolling interests</w:t>
            </w:r>
          </w:p>
        </w:tc>
        <w:tc>
          <w:tcPr>
            <w:tcW w:w="7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740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equity</w:t>
            </w:r>
          </w:p>
        </w:tc>
        <w:tc>
          <w:tcPr>
            <w:tcW w:w="7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2,390</w:t>
            </w:r>
          </w:p>
        </w:tc>
      </w:tr>
      <w:tr>
        <w:trPr>
          <w:trHeight w:val="206"/>
        </w:trPr>
        <w:tc>
          <w:tcPr>
            <w:tcW w:w="7400" w:type="dxa"/>
            <w:vAlign w:val="bottom"/>
          </w:tcPr>
          <w:p>
            <w:pPr>
              <w:ind w:left="900"/>
              <w:spacing w:after="0"/>
              <w:rPr>
                <w:sz w:val="20"/>
                <w:szCs w:val="20"/>
                <w:color w:val="auto"/>
              </w:rPr>
            </w:pPr>
            <w:r>
              <w:rPr>
                <w:rFonts w:ascii="Arial" w:cs="Arial" w:eastAsia="Arial" w:hAnsi="Arial"/>
                <w:sz w:val="16"/>
                <w:szCs w:val="16"/>
                <w:b w:val="1"/>
                <w:bCs w:val="1"/>
                <w:color w:val="auto"/>
              </w:rPr>
              <w:t>Total liabilities and equity</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8,706</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7,271</w:t>
            </w:r>
          </w:p>
        </w:tc>
      </w:tr>
      <w:tr>
        <w:trPr>
          <w:trHeight w:val="24"/>
        </w:trPr>
        <w:tc>
          <w:tcPr>
            <w:tcW w:w="7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440" w:type="dxa"/>
            <w:vAlign w:val="bottom"/>
          </w:tcPr>
          <w:p>
            <w:pPr>
              <w:spacing w:after="0"/>
              <w:rPr>
                <w:sz w:val="18"/>
                <w:szCs w:val="18"/>
                <w:color w:val="auto"/>
              </w:rPr>
            </w:pPr>
          </w:p>
        </w:tc>
        <w:tc>
          <w:tcPr>
            <w:tcW w:w="1420" w:type="dxa"/>
            <w:vAlign w:val="bottom"/>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7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00" w:type="dxa"/>
            <w:vAlign w:val="bottom"/>
            <w:gridSpan w:val="2"/>
          </w:tcPr>
          <w:p>
            <w:pPr>
              <w:ind w:left="240"/>
              <w:spacing w:after="0"/>
              <w:rPr>
                <w:sz w:val="20"/>
                <w:szCs w:val="20"/>
                <w:color w:val="auto"/>
              </w:rPr>
            </w:pPr>
            <w:r>
              <w:rPr>
                <w:rFonts w:ascii="Arial" w:cs="Arial" w:eastAsia="Arial" w:hAnsi="Arial"/>
                <w:sz w:val="16"/>
                <w:szCs w:val="16"/>
                <w:b w:val="1"/>
                <w:bCs w:val="1"/>
                <w:color w:val="auto"/>
              </w:rPr>
              <w:t>Net income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Depreciation and amortization expense</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Stock-based compensation expense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Deferred tax benefit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Changes in operating assets and liabilities</w:t>
            </w: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Accounts receivable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Other assets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Accrued expenses and other liabilities</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2"/>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193"/>
        </w:trPr>
        <w:tc>
          <w:tcPr>
            <w:tcW w:w="740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Capital expenditures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Proceeds from sales of property and equipment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Purchase and sale of affiliate trade receivables, net</w:t>
            </w:r>
          </w:p>
        </w:tc>
        <w:tc>
          <w:tcPr>
            <w:tcW w:w="4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Acquisition of businesses, net of cash acquired</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9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Proceeds from issuance of debt, net</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Repayment of debt related to securitization transactions and other</w:t>
            </w:r>
          </w:p>
        </w:tc>
        <w:tc>
          <w:tcPr>
            <w:tcW w:w="4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Repayment of debt and finance leases</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Purchase of noncontrolling interests</w:t>
            </w:r>
          </w:p>
        </w:tc>
        <w:tc>
          <w:tcPr>
            <w:tcW w:w="4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3"/>
        </w:trPr>
        <w:tc>
          <w:tcPr>
            <w:tcW w:w="7400" w:type="dxa"/>
            <w:vAlign w:val="bottom"/>
            <w:gridSpan w:val="2"/>
          </w:tcPr>
          <w:p>
            <w:pPr>
              <w:ind w:left="260"/>
              <w:spacing w:after="0"/>
              <w:rPr>
                <w:sz w:val="20"/>
                <w:szCs w:val="20"/>
                <w:color w:val="auto"/>
              </w:rPr>
            </w:pPr>
            <w:r>
              <w:rPr>
                <w:rFonts w:ascii="Arial" w:cs="Arial" w:eastAsia="Arial" w:hAnsi="Arial"/>
                <w:sz w:val="16"/>
                <w:szCs w:val="16"/>
                <w:color w:val="auto"/>
              </w:rPr>
              <w:t>Net transfers from XPO Logistics, Inc.</w:t>
            </w:r>
          </w:p>
        </w:tc>
        <w:tc>
          <w:tcPr>
            <w:tcW w:w="44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Taxes paid related to net share settlement of equity awards</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Cash and cash equivalents, beginning of period</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34"/>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Common stock issued for acquisition</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XPO</w:t>
            </w: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Equity Before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Logistics,</w:t>
            </w:r>
          </w:p>
        </w:tc>
        <w:tc>
          <w:tcPr>
            <w:tcW w:w="8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rPr>
              <w:t>Inc.</w:t>
            </w:r>
          </w:p>
        </w:tc>
        <w:tc>
          <w:tcPr>
            <w:tcW w:w="120" w:type="dxa"/>
            <w:vAlign w:val="bottom"/>
          </w:tcPr>
          <w:p>
            <w:pPr>
              <w:spacing w:after="0"/>
              <w:rPr>
                <w:sz w:val="8"/>
                <w:szCs w:val="8"/>
                <w:color w:val="auto"/>
              </w:rPr>
            </w:pPr>
          </w:p>
        </w:tc>
        <w:tc>
          <w:tcPr>
            <w:tcW w:w="70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8"/>
                <w:szCs w:val="8"/>
                <w:color w:val="auto"/>
              </w:rPr>
            </w:pPr>
          </w:p>
        </w:tc>
        <w:tc>
          <w:tcPr>
            <w:tcW w:w="720" w:type="dxa"/>
            <w:vAlign w:val="bottom"/>
            <w:gridSpan w:val="2"/>
          </w:tcPr>
          <w:p>
            <w:pPr>
              <w:jc w:val="right"/>
              <w:ind w:right="180"/>
              <w:spacing w:after="0" w:line="102" w:lineRule="exact"/>
              <w:rPr>
                <w:sz w:val="20"/>
                <w:szCs w:val="20"/>
                <w:color w:val="auto"/>
              </w:rPr>
            </w:pPr>
            <w:r>
              <w:rPr>
                <w:rFonts w:ascii="Arial" w:cs="Arial" w:eastAsia="Arial" w:hAnsi="Arial"/>
                <w:sz w:val="11"/>
                <w:szCs w:val="11"/>
                <w:b w:val="1"/>
                <w:bCs w:val="1"/>
                <w:color w:val="auto"/>
              </w:rPr>
              <w:t>Retained</w:t>
            </w:r>
          </w:p>
        </w:tc>
        <w:tc>
          <w:tcPr>
            <w:tcW w:w="110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Comprehensive</w:t>
            </w:r>
          </w:p>
        </w:tc>
        <w:tc>
          <w:tcPr>
            <w:tcW w:w="108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Noncontrolling</w:t>
            </w:r>
          </w:p>
        </w:tc>
        <w:tc>
          <w:tcPr>
            <w:tcW w:w="108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Noncontrolling</w:t>
            </w:r>
          </w:p>
        </w:tc>
        <w:tc>
          <w:tcPr>
            <w:tcW w:w="120" w:type="dxa"/>
            <w:vAlign w:val="bottom"/>
          </w:tcPr>
          <w:p>
            <w:pPr>
              <w:spacing w:after="0"/>
              <w:rPr>
                <w:sz w:val="8"/>
                <w:szCs w:val="8"/>
                <w:color w:val="auto"/>
              </w:rPr>
            </w:pPr>
          </w:p>
        </w:tc>
        <w:tc>
          <w:tcPr>
            <w:tcW w:w="560" w:type="dxa"/>
            <w:vAlign w:val="bottom"/>
          </w:tcPr>
          <w:p>
            <w:pPr>
              <w:jc w:val="center"/>
              <w:ind w:right="49"/>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1"/>
        </w:trPr>
        <w:tc>
          <w:tcPr>
            <w:tcW w:w="3440" w:type="dxa"/>
            <w:vAlign w:val="bottom"/>
            <w:gridSpan w:val="2"/>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7"/>
                <w:szCs w:val="17"/>
                <w:color w:val="auto"/>
              </w:rPr>
            </w:pPr>
          </w:p>
        </w:tc>
        <w:tc>
          <w:tcPr>
            <w:tcW w:w="560" w:type="dxa"/>
            <w:vAlign w:val="bottom"/>
          </w:tcPr>
          <w:p>
            <w:pPr>
              <w:jc w:val="center"/>
              <w:ind w:right="2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2022</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114,840</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0" w:type="dxa"/>
            <w:vAlign w:val="bottom"/>
          </w:tcPr>
          <w:p>
            <w:pPr>
              <w:spacing w:after="0"/>
              <w:rPr>
                <w:sz w:val="1"/>
                <w:szCs w:val="1"/>
                <w:color w:val="auto"/>
              </w:rPr>
            </w:pPr>
          </w:p>
        </w:tc>
      </w:tr>
      <w:tr>
        <w:trPr>
          <w:trHeight w:val="179"/>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6"/>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Vesting of stock compensation awards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4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Tax withholding on vesting of stock compensation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9"/>
        </w:trPr>
        <w:tc>
          <w:tcPr>
            <w:tcW w:w="3440" w:type="dxa"/>
            <w:vAlign w:val="bottom"/>
            <w:gridSpan w:val="2"/>
            <w:vMerge w:val="restart"/>
          </w:tcPr>
          <w:p>
            <w:pPr>
              <w:ind w:left="20"/>
              <w:spacing w:after="0"/>
              <w:rPr>
                <w:sz w:val="20"/>
                <w:szCs w:val="20"/>
                <w:color w:val="auto"/>
              </w:rPr>
            </w:pPr>
            <w:r>
              <w:rPr>
                <w:rFonts w:ascii="Arial" w:cs="Arial" w:eastAsia="Arial" w:hAnsi="Arial"/>
                <w:sz w:val="14"/>
                <w:szCs w:val="14"/>
                <w:color w:val="auto"/>
              </w:rPr>
              <w:t>awards</w:t>
            </w:r>
          </w:p>
        </w:tc>
        <w:tc>
          <w:tcPr>
            <w:tcW w:w="6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4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issued for acquisition</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6"/>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Dividends</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8"/>
        </w:trPr>
        <w:tc>
          <w:tcPr>
            <w:tcW w:w="34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June 30, 2022</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3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XPO</w:t>
            </w: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Equity Before</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Logistics,</w:t>
            </w:r>
          </w:p>
        </w:tc>
        <w:tc>
          <w:tcPr>
            <w:tcW w:w="8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rPr>
              <w:t>Inc.</w:t>
            </w:r>
          </w:p>
        </w:tc>
        <w:tc>
          <w:tcPr>
            <w:tcW w:w="120" w:type="dxa"/>
            <w:vAlign w:val="bottom"/>
          </w:tcPr>
          <w:p>
            <w:pPr>
              <w:spacing w:after="0"/>
              <w:rPr>
                <w:sz w:val="8"/>
                <w:szCs w:val="8"/>
                <w:color w:val="auto"/>
              </w:rPr>
            </w:pPr>
          </w:p>
        </w:tc>
        <w:tc>
          <w:tcPr>
            <w:tcW w:w="70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8"/>
                <w:szCs w:val="8"/>
                <w:color w:val="auto"/>
              </w:rPr>
            </w:pPr>
          </w:p>
        </w:tc>
        <w:tc>
          <w:tcPr>
            <w:tcW w:w="720" w:type="dxa"/>
            <w:vAlign w:val="bottom"/>
            <w:gridSpan w:val="2"/>
          </w:tcPr>
          <w:p>
            <w:pPr>
              <w:jc w:val="right"/>
              <w:ind w:right="180"/>
              <w:spacing w:after="0" w:line="102" w:lineRule="exact"/>
              <w:rPr>
                <w:sz w:val="20"/>
                <w:szCs w:val="20"/>
                <w:color w:val="auto"/>
              </w:rPr>
            </w:pPr>
            <w:r>
              <w:rPr>
                <w:rFonts w:ascii="Arial" w:cs="Arial" w:eastAsia="Arial" w:hAnsi="Arial"/>
                <w:sz w:val="11"/>
                <w:szCs w:val="11"/>
                <w:b w:val="1"/>
                <w:bCs w:val="1"/>
                <w:color w:val="auto"/>
              </w:rPr>
              <w:t>Retained</w:t>
            </w:r>
          </w:p>
        </w:tc>
        <w:tc>
          <w:tcPr>
            <w:tcW w:w="110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Comprehensive</w:t>
            </w:r>
          </w:p>
        </w:tc>
        <w:tc>
          <w:tcPr>
            <w:tcW w:w="108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Noncontrolling</w:t>
            </w:r>
          </w:p>
        </w:tc>
        <w:tc>
          <w:tcPr>
            <w:tcW w:w="108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Noncontrolling</w:t>
            </w:r>
          </w:p>
        </w:tc>
        <w:tc>
          <w:tcPr>
            <w:tcW w:w="120" w:type="dxa"/>
            <w:vAlign w:val="bottom"/>
          </w:tcPr>
          <w:p>
            <w:pPr>
              <w:spacing w:after="0"/>
              <w:rPr>
                <w:sz w:val="8"/>
                <w:szCs w:val="8"/>
                <w:color w:val="auto"/>
              </w:rPr>
            </w:pPr>
          </w:p>
        </w:tc>
        <w:tc>
          <w:tcPr>
            <w:tcW w:w="560" w:type="dxa"/>
            <w:vAlign w:val="bottom"/>
          </w:tcPr>
          <w:p>
            <w:pPr>
              <w:jc w:val="center"/>
              <w:ind w:right="49"/>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1"/>
        </w:trPr>
        <w:tc>
          <w:tcPr>
            <w:tcW w:w="3440" w:type="dxa"/>
            <w:vAlign w:val="bottom"/>
            <w:gridSpan w:val="2"/>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7"/>
                <w:szCs w:val="17"/>
                <w:color w:val="auto"/>
              </w:rPr>
            </w:pPr>
          </w:p>
        </w:tc>
        <w:tc>
          <w:tcPr>
            <w:tcW w:w="560" w:type="dxa"/>
            <w:vAlign w:val="bottom"/>
          </w:tcPr>
          <w:p>
            <w:pPr>
              <w:jc w:val="center"/>
              <w:ind w:right="29"/>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114,659</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2,390</w:t>
            </w:r>
          </w:p>
        </w:tc>
        <w:tc>
          <w:tcPr>
            <w:tcW w:w="0" w:type="dxa"/>
            <w:vAlign w:val="bottom"/>
          </w:tcPr>
          <w:p>
            <w:pPr>
              <w:spacing w:after="0"/>
              <w:rPr>
                <w:sz w:val="1"/>
                <w:szCs w:val="1"/>
                <w:color w:val="auto"/>
              </w:rPr>
            </w:pPr>
          </w:p>
        </w:tc>
      </w:tr>
      <w:tr>
        <w:trPr>
          <w:trHeight w:val="179"/>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6"/>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Vesting of stock compensation awards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34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Tax withholding on vesting of stock compensation</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6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10"/>
        </w:trPr>
        <w:tc>
          <w:tcPr>
            <w:tcW w:w="3440" w:type="dxa"/>
            <w:vAlign w:val="bottom"/>
            <w:gridSpan w:val="2"/>
            <w:vMerge w:val="restart"/>
          </w:tcPr>
          <w:p>
            <w:pPr>
              <w:ind w:left="20"/>
              <w:spacing w:after="0"/>
              <w:rPr>
                <w:sz w:val="20"/>
                <w:szCs w:val="20"/>
                <w:color w:val="auto"/>
              </w:rPr>
            </w:pPr>
            <w:r>
              <w:rPr>
                <w:rFonts w:ascii="Arial" w:cs="Arial" w:eastAsia="Arial" w:hAnsi="Arial"/>
                <w:sz w:val="14"/>
                <w:szCs w:val="14"/>
                <w:color w:val="auto"/>
              </w:rPr>
              <w:t>awards</w:t>
            </w:r>
          </w:p>
        </w:tc>
        <w:tc>
          <w:tcPr>
            <w:tcW w:w="6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344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issued for acquisition</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6"/>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Deconsolidation of variable interest entity</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9"/>
        </w:trPr>
        <w:tc>
          <w:tcPr>
            <w:tcW w:w="3440" w:type="dxa"/>
            <w:vAlign w:val="bottom"/>
            <w:gridSpan w:val="2"/>
          </w:tcPr>
          <w:p>
            <w:pPr>
              <w:ind w:left="20"/>
              <w:spacing w:after="0"/>
              <w:rPr>
                <w:sz w:val="20"/>
                <w:szCs w:val="20"/>
                <w:color w:val="auto"/>
              </w:rPr>
            </w:pPr>
            <w:r>
              <w:rPr>
                <w:rFonts w:ascii="Arial" w:cs="Arial" w:eastAsia="Arial" w:hAnsi="Arial"/>
                <w:sz w:val="14"/>
                <w:szCs w:val="14"/>
                <w:color w:val="auto"/>
              </w:rPr>
              <w:t>Balance as of June 30, 2022</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118,610</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2,561</w:t>
            </w:r>
          </w:p>
        </w:tc>
        <w:tc>
          <w:tcPr>
            <w:tcW w:w="0" w:type="dxa"/>
            <w:vAlign w:val="bottom"/>
          </w:tcPr>
          <w:p>
            <w:pPr>
              <w:spacing w:after="0"/>
              <w:rPr>
                <w:sz w:val="1"/>
                <w:szCs w:val="1"/>
                <w:color w:val="auto"/>
              </w:rPr>
            </w:pPr>
          </w:p>
        </w:tc>
      </w:tr>
      <w:tr>
        <w:trPr>
          <w:trHeight w:val="24"/>
        </w:trPr>
        <w:tc>
          <w:tcPr>
            <w:tcW w:w="3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XPO</w:t>
            </w: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Equity Before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6"/>
            <w:vMerge w:val="restart"/>
          </w:tcPr>
          <w:p>
            <w:pPr>
              <w:jc w:val="right"/>
              <w:ind w:right="10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Logistics,</w:t>
            </w:r>
          </w:p>
        </w:tc>
        <w:tc>
          <w:tcPr>
            <w:tcW w:w="8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300" w:type="dxa"/>
            <w:vAlign w:val="bottom"/>
            <w:tcBorders>
              <w:bottom w:val="single" w:sz="8" w:color="auto"/>
            </w:tcBorders>
            <w:gridSpan w:val="6"/>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rPr>
              <w:t>Inc.</w:t>
            </w:r>
          </w:p>
        </w:tc>
        <w:tc>
          <w:tcPr>
            <w:tcW w:w="120" w:type="dxa"/>
            <w:vAlign w:val="bottom"/>
          </w:tcPr>
          <w:p>
            <w:pPr>
              <w:spacing w:after="0"/>
              <w:rPr>
                <w:sz w:val="8"/>
                <w:szCs w:val="8"/>
                <w:color w:val="auto"/>
              </w:rPr>
            </w:pPr>
          </w:p>
        </w:tc>
        <w:tc>
          <w:tcPr>
            <w:tcW w:w="70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8"/>
                <w:szCs w:val="8"/>
                <w:color w:val="auto"/>
              </w:rPr>
            </w:pPr>
          </w:p>
        </w:tc>
        <w:tc>
          <w:tcPr>
            <w:tcW w:w="720" w:type="dxa"/>
            <w:vAlign w:val="bottom"/>
            <w:gridSpan w:val="2"/>
          </w:tcPr>
          <w:p>
            <w:pPr>
              <w:jc w:val="right"/>
              <w:ind w:right="180"/>
              <w:spacing w:after="0" w:line="102" w:lineRule="exact"/>
              <w:rPr>
                <w:sz w:val="20"/>
                <w:szCs w:val="20"/>
                <w:color w:val="auto"/>
              </w:rPr>
            </w:pPr>
            <w:r>
              <w:rPr>
                <w:rFonts w:ascii="Arial" w:cs="Arial" w:eastAsia="Arial" w:hAnsi="Arial"/>
                <w:sz w:val="11"/>
                <w:szCs w:val="11"/>
                <w:b w:val="1"/>
                <w:bCs w:val="1"/>
                <w:color w:val="auto"/>
              </w:rPr>
              <w:t>Retained</w:t>
            </w:r>
          </w:p>
        </w:tc>
        <w:tc>
          <w:tcPr>
            <w:tcW w:w="110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Comprehensive</w:t>
            </w:r>
          </w:p>
        </w:tc>
        <w:tc>
          <w:tcPr>
            <w:tcW w:w="108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Noncontrolling</w:t>
            </w:r>
          </w:p>
        </w:tc>
        <w:tc>
          <w:tcPr>
            <w:tcW w:w="108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Noncontrolling</w:t>
            </w:r>
          </w:p>
        </w:tc>
        <w:tc>
          <w:tcPr>
            <w:tcW w:w="120" w:type="dxa"/>
            <w:vAlign w:val="bottom"/>
          </w:tcPr>
          <w:p>
            <w:pPr>
              <w:spacing w:after="0"/>
              <w:rPr>
                <w:sz w:val="8"/>
                <w:szCs w:val="8"/>
                <w:color w:val="auto"/>
              </w:rPr>
            </w:pPr>
          </w:p>
        </w:tc>
        <w:tc>
          <w:tcPr>
            <w:tcW w:w="560" w:type="dxa"/>
            <w:vAlign w:val="bottom"/>
          </w:tcPr>
          <w:p>
            <w:pPr>
              <w:jc w:val="center"/>
              <w:ind w:right="50"/>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1"/>
        </w:trPr>
        <w:tc>
          <w:tcPr>
            <w:tcW w:w="3440" w:type="dxa"/>
            <w:vAlign w:val="bottom"/>
            <w:gridSpan w:val="4"/>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700" w:type="dxa"/>
            <w:vAlign w:val="bottom"/>
            <w:gridSpan w:val="4"/>
          </w:tcPr>
          <w:p>
            <w:pPr>
              <w:ind w:left="1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7"/>
                <w:szCs w:val="17"/>
                <w:color w:val="auto"/>
              </w:rPr>
            </w:pPr>
          </w:p>
        </w:tc>
        <w:tc>
          <w:tcPr>
            <w:tcW w:w="560" w:type="dxa"/>
            <w:vAlign w:val="bottom"/>
          </w:tcPr>
          <w:p>
            <w:pPr>
              <w:jc w:val="center"/>
              <w:ind w:right="3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33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March 31, 2021</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center"/>
              <w:ind w:left="588"/>
              <w:spacing w:after="0"/>
              <w:rPr>
                <w:sz w:val="20"/>
                <w:szCs w:val="20"/>
                <w:color w:val="auto"/>
              </w:rPr>
            </w:pPr>
            <w:r>
              <w:rPr>
                <w:rFonts w:ascii="Arial" w:cs="Arial" w:eastAsia="Arial" w:hAnsi="Arial"/>
                <w:sz w:val="14"/>
                <w:szCs w:val="14"/>
                <w:color w:val="auto"/>
                <w:w w:val="89"/>
              </w:rPr>
              <w:t>16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2,919</w:t>
            </w:r>
          </w:p>
        </w:tc>
        <w:tc>
          <w:tcPr>
            <w:tcW w:w="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3,043</w:t>
            </w:r>
          </w:p>
        </w:tc>
        <w:tc>
          <w:tcPr>
            <w:tcW w:w="0" w:type="dxa"/>
            <w:vAlign w:val="bottom"/>
          </w:tcPr>
          <w:p>
            <w:pPr>
              <w:spacing w:after="0"/>
              <w:rPr>
                <w:sz w:val="1"/>
                <w:szCs w:val="1"/>
                <w:color w:val="auto"/>
              </w:rPr>
            </w:pPr>
          </w:p>
        </w:tc>
      </w:tr>
      <w:tr>
        <w:trPr>
          <w:trHeight w:val="179"/>
        </w:trPr>
        <w:tc>
          <w:tcPr>
            <w:tcW w:w="3440" w:type="dxa"/>
            <w:vAlign w:val="bottom"/>
            <w:gridSpan w:val="4"/>
          </w:tcPr>
          <w:p>
            <w:pPr>
              <w:ind w:left="20"/>
              <w:spacing w:after="0"/>
              <w:rPr>
                <w:sz w:val="20"/>
                <w:szCs w:val="20"/>
                <w:color w:val="auto"/>
              </w:rPr>
            </w:pPr>
            <w:r>
              <w:rPr>
                <w:rFonts w:ascii="Arial" w:cs="Arial" w:eastAsia="Arial" w:hAnsi="Arial"/>
                <w:sz w:val="14"/>
                <w:szCs w:val="14"/>
                <w:color w:val="auto"/>
              </w:rPr>
              <w:t>Net income</w:t>
            </w:r>
          </w:p>
        </w:tc>
        <w:tc>
          <w:tcPr>
            <w:tcW w:w="6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left="58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2"/>
        </w:trPr>
        <w:tc>
          <w:tcPr>
            <w:tcW w:w="34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700" w:type="dxa"/>
            <w:vAlign w:val="bottom"/>
            <w:gridSpan w:val="4"/>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w w:val="89"/>
              </w:rPr>
              <w:t>23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6"/>
        </w:trPr>
        <w:tc>
          <w:tcPr>
            <w:tcW w:w="3440" w:type="dxa"/>
            <w:vAlign w:val="bottom"/>
            <w:gridSpan w:val="4"/>
          </w:tcPr>
          <w:p>
            <w:pPr>
              <w:ind w:left="20"/>
              <w:spacing w:after="0"/>
              <w:rPr>
                <w:sz w:val="20"/>
                <w:szCs w:val="20"/>
                <w:color w:val="auto"/>
              </w:rPr>
            </w:pPr>
            <w:r>
              <w:rPr>
                <w:rFonts w:ascii="Arial" w:cs="Arial" w:eastAsia="Arial" w:hAnsi="Arial"/>
                <w:sz w:val="14"/>
                <w:szCs w:val="14"/>
                <w:color w:val="auto"/>
              </w:rPr>
              <w:t>Purchase of noncontrolling interest</w:t>
            </w:r>
          </w:p>
        </w:tc>
        <w:tc>
          <w:tcPr>
            <w:tcW w:w="700" w:type="dxa"/>
            <w:vAlign w:val="bottom"/>
            <w:gridSpan w:val="4"/>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center"/>
              <w:ind w:left="50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92"/>
        </w:trPr>
        <w:tc>
          <w:tcPr>
            <w:tcW w:w="34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transfers from (to) XPO Logistics, Inc.</w:t>
            </w:r>
          </w:p>
        </w:tc>
        <w:tc>
          <w:tcPr>
            <w:tcW w:w="700" w:type="dxa"/>
            <w:vAlign w:val="bottom"/>
            <w:gridSpan w:val="4"/>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left="50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6"/>
        </w:trPr>
        <w:tc>
          <w:tcPr>
            <w:tcW w:w="3440" w:type="dxa"/>
            <w:vAlign w:val="bottom"/>
            <w:gridSpan w:val="4"/>
          </w:tcPr>
          <w:p>
            <w:pPr>
              <w:ind w:left="20"/>
              <w:spacing w:after="0"/>
              <w:rPr>
                <w:sz w:val="20"/>
                <w:szCs w:val="20"/>
                <w:color w:val="auto"/>
              </w:rPr>
            </w:pPr>
            <w:r>
              <w:rPr>
                <w:rFonts w:ascii="Arial" w:cs="Arial" w:eastAsia="Arial" w:hAnsi="Arial"/>
                <w:sz w:val="14"/>
                <w:szCs w:val="14"/>
                <w:color w:val="auto"/>
              </w:rPr>
              <w:t>Other</w:t>
            </w:r>
          </w:p>
        </w:tc>
        <w:tc>
          <w:tcPr>
            <w:tcW w:w="700" w:type="dxa"/>
            <w:vAlign w:val="bottom"/>
            <w:gridSpan w:val="4"/>
          </w:tcPr>
          <w:p>
            <w:pPr>
              <w:ind w:left="4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center"/>
              <w:ind w:left="50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8"/>
        </w:trPr>
        <w:tc>
          <w:tcPr>
            <w:tcW w:w="344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Balance as of June 30, 2021</w:t>
            </w:r>
          </w:p>
        </w:tc>
        <w:tc>
          <w:tcPr>
            <w:tcW w:w="620" w:type="dxa"/>
            <w:vAlign w:val="bottom"/>
            <w:tcBorders>
              <w:top w:val="single" w:sz="8" w:color="auto"/>
              <w:bottom w:val="single" w:sz="8" w:color="auto"/>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center"/>
              <w:ind w:left="588"/>
              <w:spacing w:after="0"/>
              <w:rPr>
                <w:sz w:val="20"/>
                <w:szCs w:val="20"/>
                <w:color w:val="auto"/>
              </w:rPr>
            </w:pPr>
            <w:r>
              <w:rPr>
                <w:rFonts w:ascii="Arial" w:cs="Arial" w:eastAsia="Arial" w:hAnsi="Arial"/>
                <w:sz w:val="14"/>
                <w:szCs w:val="14"/>
                <w:color w:val="auto"/>
                <w:w w:val="89"/>
              </w:rPr>
              <w:t>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XPO</w:t>
            </w: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Equity Before</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00" w:type="dxa"/>
            <w:vAlign w:val="bottom"/>
            <w:gridSpan w:val="6"/>
            <w:vMerge w:val="restart"/>
          </w:tcPr>
          <w:p>
            <w:pPr>
              <w:jc w:val="right"/>
              <w:ind w:right="128"/>
              <w:spacing w:after="0"/>
              <w:rPr>
                <w:sz w:val="20"/>
                <w:szCs w:val="20"/>
                <w:color w:val="auto"/>
              </w:rPr>
            </w:pPr>
            <w:r>
              <w:rPr>
                <w:rFonts w:ascii="Arial" w:cs="Arial" w:eastAsia="Arial" w:hAnsi="Arial"/>
                <w:sz w:val="14"/>
                <w:szCs w:val="14"/>
                <w:b w:val="1"/>
                <w:bCs w:val="1"/>
                <w:color w:val="auto"/>
              </w:rPr>
              <w:t>Common Stock</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Logistics,</w:t>
            </w:r>
          </w:p>
        </w:tc>
        <w:tc>
          <w:tcPr>
            <w:tcW w:w="8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6"/>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rPr>
              <w:t>Inc.</w:t>
            </w:r>
          </w:p>
        </w:tc>
        <w:tc>
          <w:tcPr>
            <w:tcW w:w="120" w:type="dxa"/>
            <w:vAlign w:val="bottom"/>
          </w:tcPr>
          <w:p>
            <w:pPr>
              <w:spacing w:after="0"/>
              <w:rPr>
                <w:sz w:val="8"/>
                <w:szCs w:val="8"/>
                <w:color w:val="auto"/>
              </w:rPr>
            </w:pPr>
          </w:p>
        </w:tc>
        <w:tc>
          <w:tcPr>
            <w:tcW w:w="700" w:type="dxa"/>
            <w:vAlign w:val="bottom"/>
            <w:gridSpan w:val="2"/>
          </w:tcPr>
          <w:p>
            <w:pPr>
              <w:jc w:val="center"/>
              <w:ind w:right="200"/>
              <w:spacing w:after="0" w:line="102"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8"/>
                <w:szCs w:val="8"/>
                <w:color w:val="auto"/>
              </w:rPr>
            </w:pPr>
          </w:p>
        </w:tc>
        <w:tc>
          <w:tcPr>
            <w:tcW w:w="720" w:type="dxa"/>
            <w:vAlign w:val="bottom"/>
            <w:gridSpan w:val="2"/>
          </w:tcPr>
          <w:p>
            <w:pPr>
              <w:jc w:val="right"/>
              <w:ind w:right="180"/>
              <w:spacing w:after="0" w:line="102" w:lineRule="exact"/>
              <w:rPr>
                <w:sz w:val="20"/>
                <w:szCs w:val="20"/>
                <w:color w:val="auto"/>
              </w:rPr>
            </w:pPr>
            <w:r>
              <w:rPr>
                <w:rFonts w:ascii="Arial" w:cs="Arial" w:eastAsia="Arial" w:hAnsi="Arial"/>
                <w:sz w:val="11"/>
                <w:szCs w:val="11"/>
                <w:b w:val="1"/>
                <w:bCs w:val="1"/>
                <w:color w:val="auto"/>
              </w:rPr>
              <w:t>Retained</w:t>
            </w:r>
          </w:p>
        </w:tc>
        <w:tc>
          <w:tcPr>
            <w:tcW w:w="110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Comprehensive</w:t>
            </w:r>
          </w:p>
        </w:tc>
        <w:tc>
          <w:tcPr>
            <w:tcW w:w="108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Noncontrolling</w:t>
            </w:r>
          </w:p>
        </w:tc>
        <w:tc>
          <w:tcPr>
            <w:tcW w:w="1080" w:type="dxa"/>
            <w:vAlign w:val="bottom"/>
            <w:gridSpan w:val="3"/>
          </w:tcPr>
          <w:p>
            <w:pPr>
              <w:ind w:left="40"/>
              <w:spacing w:after="0" w:line="102" w:lineRule="exact"/>
              <w:rPr>
                <w:sz w:val="20"/>
                <w:szCs w:val="20"/>
                <w:color w:val="auto"/>
              </w:rPr>
            </w:pPr>
            <w:r>
              <w:rPr>
                <w:rFonts w:ascii="Arial" w:cs="Arial" w:eastAsia="Arial" w:hAnsi="Arial"/>
                <w:sz w:val="11"/>
                <w:szCs w:val="11"/>
                <w:b w:val="1"/>
                <w:bCs w:val="1"/>
                <w:color w:val="auto"/>
              </w:rPr>
              <w:t>Noncontrolling</w:t>
            </w:r>
          </w:p>
        </w:tc>
        <w:tc>
          <w:tcPr>
            <w:tcW w:w="120" w:type="dxa"/>
            <w:vAlign w:val="bottom"/>
          </w:tcPr>
          <w:p>
            <w:pPr>
              <w:spacing w:after="0"/>
              <w:rPr>
                <w:sz w:val="8"/>
                <w:szCs w:val="8"/>
                <w:color w:val="auto"/>
              </w:rPr>
            </w:pPr>
          </w:p>
        </w:tc>
        <w:tc>
          <w:tcPr>
            <w:tcW w:w="560" w:type="dxa"/>
            <w:vAlign w:val="bottom"/>
          </w:tcPr>
          <w:p>
            <w:pPr>
              <w:jc w:val="center"/>
              <w:ind w:right="50"/>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01"/>
        </w:trPr>
        <w:tc>
          <w:tcPr>
            <w:tcW w:w="3440" w:type="dxa"/>
            <w:vAlign w:val="bottom"/>
            <w:gridSpan w:val="4"/>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700" w:type="dxa"/>
            <w:vAlign w:val="bottom"/>
            <w:gridSpan w:val="4"/>
          </w:tcPr>
          <w:p>
            <w:pPr>
              <w:ind w:left="8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7"/>
                <w:szCs w:val="17"/>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7"/>
                <w:szCs w:val="17"/>
                <w:color w:val="auto"/>
              </w:rPr>
            </w:pPr>
          </w:p>
        </w:tc>
        <w:tc>
          <w:tcPr>
            <w:tcW w:w="560" w:type="dxa"/>
            <w:vAlign w:val="bottom"/>
          </w:tcPr>
          <w:p>
            <w:pPr>
              <w:jc w:val="center"/>
              <w:ind w:right="3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4"/>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center"/>
              <w:ind w:left="588"/>
              <w:spacing w:after="0"/>
              <w:rPr>
                <w:sz w:val="20"/>
                <w:szCs w:val="20"/>
                <w:color w:val="auto"/>
              </w:rPr>
            </w:pPr>
            <w:r>
              <w:rPr>
                <w:rFonts w:ascii="Arial" w:cs="Arial" w:eastAsia="Arial" w:hAnsi="Arial"/>
                <w:sz w:val="14"/>
                <w:szCs w:val="14"/>
                <w:color w:val="auto"/>
                <w:w w:val="89"/>
              </w:rPr>
              <w:t>58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2,948</w:t>
            </w:r>
          </w:p>
        </w:tc>
        <w:tc>
          <w:tcPr>
            <w:tcW w:w="0" w:type="dxa"/>
            <w:vAlign w:val="bottom"/>
          </w:tcPr>
          <w:p>
            <w:pPr>
              <w:spacing w:after="0"/>
              <w:rPr>
                <w:sz w:val="1"/>
                <w:szCs w:val="1"/>
                <w:color w:val="auto"/>
              </w:rPr>
            </w:pPr>
          </w:p>
        </w:tc>
      </w:tr>
      <w:tr>
        <w:trPr>
          <w:trHeight w:val="179"/>
        </w:trPr>
        <w:tc>
          <w:tcPr>
            <w:tcW w:w="340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5"/>
                <w:szCs w:val="15"/>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left="588"/>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2"/>
        </w:trPr>
        <w:tc>
          <w:tcPr>
            <w:tcW w:w="34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70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left="568"/>
              <w:spacing w:after="0"/>
              <w:rPr>
                <w:sz w:val="20"/>
                <w:szCs w:val="20"/>
                <w:color w:val="auto"/>
              </w:rPr>
            </w:pPr>
            <w:r>
              <w:rPr>
                <w:rFonts w:ascii="Arial" w:cs="Arial" w:eastAsia="Arial" w:hAnsi="Arial"/>
                <w:sz w:val="14"/>
                <w:szCs w:val="14"/>
                <w:color w:val="auto"/>
                <w:w w:val="96"/>
              </w:rPr>
              <w:t>(19)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3440" w:type="dxa"/>
            <w:vAlign w:val="bottom"/>
            <w:gridSpan w:val="4"/>
          </w:tcPr>
          <w:p>
            <w:pPr>
              <w:ind w:left="20"/>
              <w:spacing w:after="0"/>
              <w:rPr>
                <w:sz w:val="20"/>
                <w:szCs w:val="20"/>
                <w:color w:val="auto"/>
              </w:rPr>
            </w:pPr>
            <w:r>
              <w:rPr>
                <w:rFonts w:ascii="Arial" w:cs="Arial" w:eastAsia="Arial" w:hAnsi="Arial"/>
                <w:sz w:val="14"/>
                <w:szCs w:val="14"/>
                <w:color w:val="auto"/>
              </w:rPr>
              <w:t>Purchase of noncontrolling interests</w:t>
            </w:r>
          </w:p>
        </w:tc>
        <w:tc>
          <w:tcPr>
            <w:tcW w:w="700" w:type="dxa"/>
            <w:vAlign w:val="bottom"/>
            <w:gridSpan w:val="4"/>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center"/>
              <w:ind w:left="508"/>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92"/>
        </w:trPr>
        <w:tc>
          <w:tcPr>
            <w:tcW w:w="34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transfers from XPO Logistics, Inc.</w:t>
            </w:r>
          </w:p>
        </w:tc>
        <w:tc>
          <w:tcPr>
            <w:tcW w:w="700" w:type="dxa"/>
            <w:vAlign w:val="bottom"/>
            <w:gridSpan w:val="4"/>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left="508"/>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6"/>
        </w:trPr>
        <w:tc>
          <w:tcPr>
            <w:tcW w:w="3440" w:type="dxa"/>
            <w:vAlign w:val="bottom"/>
            <w:gridSpan w:val="4"/>
          </w:tcPr>
          <w:p>
            <w:pPr>
              <w:ind w:left="20"/>
              <w:spacing w:after="0"/>
              <w:rPr>
                <w:sz w:val="20"/>
                <w:szCs w:val="20"/>
                <w:color w:val="auto"/>
              </w:rPr>
            </w:pPr>
            <w:r>
              <w:rPr>
                <w:rFonts w:ascii="Arial" w:cs="Arial" w:eastAsia="Arial" w:hAnsi="Arial"/>
                <w:sz w:val="14"/>
                <w:szCs w:val="14"/>
                <w:color w:val="auto"/>
              </w:rPr>
              <w:t>Other</w:t>
            </w:r>
          </w:p>
        </w:tc>
        <w:tc>
          <w:tcPr>
            <w:tcW w:w="700" w:type="dxa"/>
            <w:vAlign w:val="bottom"/>
            <w:gridSpan w:val="4"/>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8"/>
        </w:trPr>
        <w:tc>
          <w:tcPr>
            <w:tcW w:w="34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Balance as of June 30, 2021</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center"/>
              <w:ind w:left="588"/>
              <w:spacing w:after="0"/>
              <w:rPr>
                <w:sz w:val="20"/>
                <w:szCs w:val="20"/>
                <w:color w:val="auto"/>
              </w:rPr>
            </w:pPr>
            <w:r>
              <w:rPr>
                <w:rFonts w:ascii="Arial" w:cs="Arial" w:eastAsia="Arial" w:hAnsi="Arial"/>
                <w:sz w:val="14"/>
                <w:szCs w:val="14"/>
                <w:color w:val="auto"/>
                <w:w w:val="89"/>
              </w:rPr>
              <w:t>39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GXO Logistics,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accompanying unaudited condensed consolidated financial statements of GXO Logistics, Inc. (“GXO” or the “Company”) have been prepared in accordance with generally accepted accounting principles in the United States of America (“GAAP”) for interim financial information and pursuant to the rules of the Securities and Exchange Commission (“SEC”). Accordingly, they do not include all of the information and footnotes required by GAAP for complete financial statements. The accompanying unaudited condensed consolidated financial statements and notes thereto should be read in conjunction with the Annual Report on Form 10-K for the year ended December 31, 2021 (the “2021 Form 10-K”).</w:t>
      </w:r>
    </w:p>
    <w:p>
      <w:pPr>
        <w:spacing w:after="0" w:line="20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 the opinion of management, all adjustments, consisting of normal recurring accruals, considered necessary for a fair presentation have been included. Operating results for the three and six months ended June 30, 2022, are not necessarily indicative of the results that may be expected for the year ending December 31, 2022.</w:t>
      </w:r>
    </w:p>
    <w:p>
      <w:pPr>
        <w:spacing w:after="0" w:line="21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August 2, 2021, the Company completed the separation from XPO Logistics, Inc. (“XPO”) (the “Separation”). Prior to the Separation, the Company’s financial statements were prepared on a standalone combined basis and were derived from the consolidated financial statements and accounting records of XPO. On August 2, 2021, the Company became a standalone publicly-traded company, and its financial statements post-Separation are prepared on a consolidated basis. The combined consolidated financial statements for all periods presented prior to the Separation are now also referred to as “condensed consolidated financial statements” and have been prepared under GAAP.</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Prior to the Separation, the Company’s historical assets and liabilities presented were wholly owned by XPO and were reflected on a historical cost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Separation, the Company’s assets and liabilities were transferred to the Company on a carryover basis.</w:t>
      </w:r>
    </w:p>
    <w:p>
      <w:pPr>
        <w:spacing w:after="0" w:line="2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Prior to the Separation, the historical results of operations included allocations of XPO costs and expenses, including XPO’s corporate function, which incurred a variety of expenses including, but not limited to, information technology, human resources, accounting, sales and sales operations, procurement, executive services, legal, corporate finance and communications. An allocation of these expenses is included to burden all business units comprising XPO’s historical results of operations, including GXO. The charges reflected have been either specifically identified or allocated using drivers including proportional adjusted earnings before interest, taxes, depreciation and amortization, which include adjustments for transaction and integration costs, as well as restructuring costs and other adjustments, or headcount. The majority of these allocated costs is recorded within Selling, general and administrative expense; Depreciation and amortization expense; and Transaction and integration costs in the Condensed Consolidated Statements of Operations.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consolidated financial statements include the accounts of GXO and its majority-owned subsidiaries and variable interest entities of which the Company is the primary beneficiary. The Company has eliminated intercompany accounts and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presents its operations as one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October 2021, the Financial Accounting Standards Board (“FASB”) issued ASU No. 2021-08, “Business Combinations (Topic 805): Accounting for Contract Assets and Contract Liabilities from Contracts with Customers.” The ASU clarifies that an acquirer of a business should recognize and measure contract assets and contract liabilities in a business combination in accordance with Accounting Standards Codification Topic 606, Revenue from Contracts with Customers. On January 1, 2022, the Company adopted the guidance. The adoption of this new standard did not have a material impact on the Company’s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The Company intends to apply this guidance when modifications of contracts that include LIBOR occur, which is not expected to have a material impact on the Company’s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geographical area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r>
      <w:tr>
        <w:trPr>
          <w:trHeight w:val="21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United States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685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1,366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1,135</w:t>
            </w: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France</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Netherlands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Spain</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13"/>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234"/>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2,156</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1,882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revenue can also be disaggregated by various verticals, reflecting the customers’ principal industry sector. Revenue disaggregated by industry sector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r>
      <w:tr>
        <w:trPr>
          <w:trHeight w:val="21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E-commerce, omnichannel retail and consumer technology</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1,194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Food and beverage</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611</w:t>
            </w: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Industrial and manufacturing</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13"/>
        </w:trPr>
        <w:tc>
          <w:tcPr>
            <w:tcW w:w="6120" w:type="dxa"/>
            <w:vAlign w:val="bottom"/>
            <w:gridSpan w:val="2"/>
          </w:tcPr>
          <w:p>
            <w:pPr>
              <w:ind w:left="20"/>
              <w:spacing w:after="0"/>
              <w:rPr>
                <w:sz w:val="20"/>
                <w:szCs w:val="20"/>
                <w:color w:val="auto"/>
              </w:rPr>
            </w:pPr>
            <w:r>
              <w:rPr>
                <w:rFonts w:ascii="Arial" w:cs="Arial" w:eastAsia="Arial" w:hAnsi="Arial"/>
                <w:sz w:val="16"/>
                <w:szCs w:val="16"/>
                <w:color w:val="auto"/>
              </w:rPr>
              <w:t>Consumer packaged goods</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19"/>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06"/>
        </w:trPr>
        <w:tc>
          <w:tcPr>
            <w:tcW w:w="61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2,156</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1,882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4,239</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3,704</w:t>
            </w:r>
          </w:p>
        </w:tc>
      </w:tr>
      <w:tr>
        <w:trPr>
          <w:trHeight w:val="24"/>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December 31, 2021</w:t>
            </w:r>
          </w:p>
        </w:tc>
      </w:tr>
      <w:tr>
        <w:trPr>
          <w:trHeight w:val="213"/>
        </w:trPr>
        <w:tc>
          <w:tcPr>
            <w:tcW w:w="740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Contract assets</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79"/>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Contract liabilities</w:t>
            </w:r>
            <w:r>
              <w:rPr>
                <w:rFonts w:ascii="Arial" w:cs="Arial" w:eastAsia="Arial" w:hAnsi="Arial"/>
                <w:sz w:val="21"/>
                <w:szCs w:val="21"/>
                <w:color w:val="auto"/>
                <w:vertAlign w:val="superscript"/>
              </w:rPr>
              <w:t>(2)</w:t>
            </w:r>
          </w:p>
        </w:tc>
        <w:tc>
          <w:tcPr>
            <w:tcW w:w="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220</w:t>
            </w:r>
          </w:p>
        </w:tc>
      </w:tr>
    </w:tbl>
    <w:p>
      <w:pPr>
        <w:spacing w:after="0" w:line="67"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Contract assets are included within Other current assets and Other long-term assets in the Condensed Consolidated Balance Sheets.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Contract liabilities are included within Other current liabilities and Other long-term liabilities in the Condensed Consolidated Balance Sheets.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recognized included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4"/>
          </w:tcPr>
          <w:p>
            <w:pPr>
              <w:jc w:val="center"/>
              <w:ind w:left="219"/>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Six Months Ended</w:t>
            </w:r>
          </w:p>
        </w:tc>
        <w:tc>
          <w:tcPr>
            <w:tcW w:w="34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right="479"/>
              <w:spacing w:after="0"/>
              <w:rPr>
                <w:sz w:val="20"/>
                <w:szCs w:val="20"/>
                <w:color w:val="auto"/>
              </w:rPr>
            </w:pPr>
            <w:r>
              <w:rPr>
                <w:rFonts w:ascii="Arial" w:cs="Arial" w:eastAsia="Arial" w:hAnsi="Arial"/>
                <w:sz w:val="16"/>
                <w:szCs w:val="16"/>
                <w:b w:val="1"/>
                <w:bCs w:val="1"/>
                <w:color w:val="auto"/>
                <w:w w:val="90"/>
              </w:rPr>
              <w:t>June 30,</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tcPr>
          <w:p>
            <w:pPr>
              <w:spacing w:after="0"/>
              <w:rPr>
                <w:sz w:val="18"/>
                <w:szCs w:val="18"/>
                <w:color w:val="auto"/>
              </w:rPr>
            </w:pPr>
          </w:p>
        </w:tc>
      </w:tr>
      <w:tr>
        <w:trPr>
          <w:trHeight w:val="21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included in the beginning of year contract liability balance</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71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of June 30, 2022, the fixed consideration component of the Company’s remaining performance obligation was approximately $2.6 billion, and the Company expects to recognize approximately 71% of that amount over the next three years and the remainder thereafter. The Company estimates remaining performance obligations at a point in time, and actual amounts may differ from these estimates due to changes in foreign currency exchange rates and contract revisions or terminations.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Clipper Acquisition</w:t>
      </w:r>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May 24, 2022, the Company completed the acquisition of Clipper Logistics plc (“Clipper”), an omnichannel retail logistics specialist based in Leeds, England (the “Clipper Acquisition”). The Company acquired Clipper for $1,103 million, consisting of $900 million in cash and the issuance of 3,749,266 shares of GXO common stock having a value of $203 million. The Competition and Markets Authority (the “CMA”) in the U.K. is currently reviewing the Clipper Acquisition. The Company estimates that the CMA’s review of the acquisition will be completed during the second half of 2022.</w:t>
      </w:r>
    </w:p>
    <w:p>
      <w:pPr>
        <w:spacing w:after="0" w:line="19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incurred transaction and financing costs related to the Clipper Acquisition of $20 million and $34 million for the three and six months ended June 30, 2022, respectively, which are included in Transaction and integration costs in the Condensed Consolidated Statements of Operations.</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Clipper Acquisition, (i) the Company and Clipper entered into a Cooperation Agreement; (ii) the Company entered into a Term Loan; (iii) the Company entered into a Five-Year Term Loan; and (iv) the Company terminated its Bridge Term Loan agreement. For additional information regarding the financing agreements entered in connection with the Clipper Acquisition, see Note 6—Debt and Financing Arrangements.</w:t>
      </w:r>
    </w:p>
    <w:p>
      <w:pPr>
        <w:spacing w:after="0" w:line="19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Clipper’s results of operations are included in our consolidated financial statements from the date of acquisition. The Company recorded $80 million and $1 million of revenue and income before income taxes for both the three and six months ended June 30, 2022, respectively.</w:t>
      </w:r>
    </w:p>
    <w:p>
      <w:pPr>
        <w:spacing w:after="0" w:line="17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accounted for the acquisition as a business combination using the acquisition method of accounting. The fair value of assets acquired and liabilities assumed was based on management’s estimate of the fair values of the assets acquired and liabilities assumed using valuation techniques including income, cost and market approaches.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summarizes the estimated fair value of assets acquired and liabilities assumed at the acquisition date: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36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9360" w:type="dxa"/>
            <w:vAlign w:val="bottom"/>
            <w:gridSpan w:val="2"/>
          </w:tcPr>
          <w:p>
            <w:pPr>
              <w:ind w:left="240"/>
              <w:spacing w:after="0"/>
              <w:rPr>
                <w:sz w:val="20"/>
                <w:szCs w:val="20"/>
                <w:color w:val="auto"/>
              </w:rPr>
            </w:pPr>
            <w:r>
              <w:rPr>
                <w:rFonts w:ascii="Arial" w:cs="Arial" w:eastAsia="Arial" w:hAnsi="Arial"/>
                <w:sz w:val="16"/>
                <w:szCs w:val="16"/>
                <w:color w:val="auto"/>
              </w:rPr>
              <w:t>Accounts receivable</w:t>
            </w: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9"/>
        </w:trPr>
        <w:tc>
          <w:tcPr>
            <w:tcW w:w="9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current assets</w:t>
            </w:r>
          </w:p>
        </w:tc>
        <w:tc>
          <w:tcPr>
            <w:tcW w:w="7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6"/>
        </w:trPr>
        <w:tc>
          <w:tcPr>
            <w:tcW w:w="936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current assets</w:t>
            </w:r>
          </w:p>
        </w:tc>
        <w:tc>
          <w:tcPr>
            <w:tcW w:w="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199"/>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7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360" w:type="dxa"/>
            <w:vAlign w:val="bottom"/>
            <w:gridSpan w:val="2"/>
          </w:tcPr>
          <w:p>
            <w:pPr>
              <w:ind w:left="260"/>
              <w:spacing w:after="0"/>
              <w:rPr>
                <w:sz w:val="20"/>
                <w:szCs w:val="20"/>
                <w:color w:val="auto"/>
              </w:rPr>
            </w:pPr>
            <w:r>
              <w:rPr>
                <w:rFonts w:ascii="Arial" w:cs="Arial" w:eastAsia="Arial" w:hAnsi="Arial"/>
                <w:sz w:val="16"/>
                <w:szCs w:val="16"/>
                <w:color w:val="auto"/>
              </w:rPr>
              <w:t>Property and equipment</w:t>
            </w: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9"/>
        </w:trPr>
        <w:tc>
          <w:tcPr>
            <w:tcW w:w="9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Operating lease assets</w:t>
            </w: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3"/>
        </w:trPr>
        <w:tc>
          <w:tcPr>
            <w:tcW w:w="9360" w:type="dxa"/>
            <w:vAlign w:val="bottom"/>
            <w:gridSpan w:val="2"/>
          </w:tcPr>
          <w:p>
            <w:pPr>
              <w:ind w:left="260"/>
              <w:spacing w:after="0"/>
              <w:rPr>
                <w:sz w:val="20"/>
                <w:szCs w:val="20"/>
                <w:color w:val="auto"/>
              </w:rPr>
            </w:pPr>
            <w:r>
              <w:rPr>
                <w:rFonts w:ascii="Arial" w:cs="Arial" w:eastAsia="Arial" w:hAnsi="Arial"/>
                <w:sz w:val="16"/>
                <w:szCs w:val="16"/>
                <w:color w:val="auto"/>
              </w:rPr>
              <w:t>Intangible assets</w:t>
            </w: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9"/>
        </w:trPr>
        <w:tc>
          <w:tcPr>
            <w:tcW w:w="9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 long-term assets</w:t>
            </w:r>
          </w:p>
        </w:tc>
        <w:tc>
          <w:tcPr>
            <w:tcW w:w="7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7"/>
        </w:trPr>
        <w:tc>
          <w:tcPr>
            <w:tcW w:w="936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long-term assets</w:t>
            </w:r>
          </w:p>
        </w:tc>
        <w:tc>
          <w:tcPr>
            <w:tcW w:w="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0" w:type="dxa"/>
            <w:vAlign w:val="bottom"/>
          </w:tcPr>
          <w:p>
            <w:pPr>
              <w:spacing w:after="0"/>
              <w:rPr>
                <w:sz w:val="1"/>
                <w:szCs w:val="1"/>
                <w:color w:val="auto"/>
              </w:rPr>
            </w:pPr>
          </w:p>
        </w:tc>
      </w:tr>
      <w:tr>
        <w:trPr>
          <w:trHeight w:val="234"/>
        </w:trPr>
        <w:tc>
          <w:tcPr>
            <w:tcW w:w="93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Total assets</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936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360" w:type="dxa"/>
            <w:vAlign w:val="bottom"/>
            <w:gridSpan w:val="2"/>
          </w:tcPr>
          <w:p>
            <w:pPr>
              <w:ind w:left="260"/>
              <w:spacing w:after="0"/>
              <w:rPr>
                <w:sz w:val="20"/>
                <w:szCs w:val="20"/>
                <w:color w:val="auto"/>
              </w:rPr>
            </w:pPr>
            <w:r>
              <w:rPr>
                <w:rFonts w:ascii="Arial" w:cs="Arial" w:eastAsia="Arial" w:hAnsi="Arial"/>
                <w:sz w:val="16"/>
                <w:szCs w:val="16"/>
                <w:color w:val="auto"/>
              </w:rPr>
              <w:t>Accounts payable</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9"/>
        </w:trPr>
        <w:tc>
          <w:tcPr>
            <w:tcW w:w="9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Accrued expenses</w:t>
            </w: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3"/>
        </w:trPr>
        <w:tc>
          <w:tcPr>
            <w:tcW w:w="9360" w:type="dxa"/>
            <w:vAlign w:val="bottom"/>
            <w:gridSpan w:val="2"/>
          </w:tcPr>
          <w:p>
            <w:pPr>
              <w:ind w:left="260"/>
              <w:spacing w:after="0"/>
              <w:rPr>
                <w:sz w:val="20"/>
                <w:szCs w:val="20"/>
                <w:color w:val="auto"/>
              </w:rPr>
            </w:pPr>
            <w:r>
              <w:rPr>
                <w:rFonts w:ascii="Arial" w:cs="Arial" w:eastAsia="Arial" w:hAnsi="Arial"/>
                <w:sz w:val="16"/>
                <w:szCs w:val="16"/>
                <w:color w:val="auto"/>
              </w:rPr>
              <w:t>Short-term borrowings and obligations under finance leases</w:t>
            </w: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9"/>
        </w:trPr>
        <w:tc>
          <w:tcPr>
            <w:tcW w:w="9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Current operating lease liabilities</w:t>
            </w: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936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Other current liabilities</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3"/>
        </w:trPr>
        <w:tc>
          <w:tcPr>
            <w:tcW w:w="936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Total current liabilities</w:t>
            </w:r>
          </w:p>
        </w:tc>
        <w:tc>
          <w:tcPr>
            <w:tcW w:w="7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193"/>
        </w:trPr>
        <w:tc>
          <w:tcPr>
            <w:tcW w:w="9360" w:type="dxa"/>
            <w:vAlign w:val="bottom"/>
            <w:gridSpan w:val="2"/>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9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Long-term debt and obligations under finance leases</w:t>
            </w:r>
          </w:p>
        </w:tc>
        <w:tc>
          <w:tcPr>
            <w:tcW w:w="7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9360" w:type="dxa"/>
            <w:vAlign w:val="bottom"/>
            <w:gridSpan w:val="2"/>
          </w:tcPr>
          <w:p>
            <w:pPr>
              <w:ind w:left="260"/>
              <w:spacing w:after="0"/>
              <w:rPr>
                <w:sz w:val="20"/>
                <w:szCs w:val="20"/>
                <w:color w:val="auto"/>
              </w:rPr>
            </w:pPr>
            <w:r>
              <w:rPr>
                <w:rFonts w:ascii="Arial" w:cs="Arial" w:eastAsia="Arial" w:hAnsi="Arial"/>
                <w:sz w:val="16"/>
                <w:szCs w:val="16"/>
                <w:color w:val="auto"/>
              </w:rPr>
              <w:t>Long-term operating lease liabilities</w:t>
            </w: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9"/>
        </w:trPr>
        <w:tc>
          <w:tcPr>
            <w:tcW w:w="9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Other long-term liabilities</w:t>
            </w:r>
          </w:p>
        </w:tc>
        <w:tc>
          <w:tcPr>
            <w:tcW w:w="7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7"/>
        </w:trPr>
        <w:tc>
          <w:tcPr>
            <w:tcW w:w="9360" w:type="dxa"/>
            <w:vAlign w:val="bottom"/>
            <w:tcBorders>
              <w:bottom w:val="single" w:sz="8" w:color="CCEEFF"/>
            </w:tcBorders>
            <w:gridSpan w:val="2"/>
          </w:tcPr>
          <w:p>
            <w:pPr>
              <w:ind w:left="560"/>
              <w:spacing w:after="0"/>
              <w:rPr>
                <w:sz w:val="20"/>
                <w:szCs w:val="20"/>
                <w:color w:val="auto"/>
              </w:rPr>
            </w:pPr>
            <w:r>
              <w:rPr>
                <w:rFonts w:ascii="Arial" w:cs="Arial" w:eastAsia="Arial" w:hAnsi="Arial"/>
                <w:sz w:val="16"/>
                <w:szCs w:val="16"/>
                <w:b w:val="1"/>
                <w:bCs w:val="1"/>
                <w:color w:val="auto"/>
              </w:rPr>
              <w:t>Total long-term liabilities</w:t>
            </w:r>
          </w:p>
        </w:tc>
        <w:tc>
          <w:tcPr>
            <w:tcW w:w="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35"/>
        </w:trPr>
        <w:tc>
          <w:tcPr>
            <w:tcW w:w="936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b w:val="1"/>
                <w:bCs w:val="1"/>
                <w:color w:val="auto"/>
              </w:rPr>
              <w:t>Total liabilities</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Net assets purchased</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360" w:type="dxa"/>
            <w:vAlign w:val="bottom"/>
            <w:gridSpan w:val="2"/>
            <w:vMerge w:val="continue"/>
          </w:tcPr>
          <w:p>
            <w:pPr>
              <w:spacing w:after="0"/>
              <w:rPr>
                <w:sz w:val="16"/>
                <w:szCs w:val="16"/>
                <w:color w:val="auto"/>
              </w:rPr>
            </w:pP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
        </w:trPr>
        <w:tc>
          <w:tcPr>
            <w:tcW w:w="9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paid</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216"/>
        </w:trPr>
        <w:tc>
          <w:tcPr>
            <w:tcW w:w="936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Common stock issued</w:t>
            </w:r>
            <w:r>
              <w:rPr>
                <w:rFonts w:ascii="Arial" w:cs="Arial" w:eastAsia="Arial" w:hAnsi="Arial"/>
                <w:sz w:val="21"/>
                <w:szCs w:val="21"/>
                <w:color w:val="auto"/>
                <w:vertAlign w:val="superscript"/>
              </w:rPr>
              <w:t>(1)</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0"/>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 price paid</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0" w:type="dxa"/>
            <w:vAlign w:val="bottom"/>
          </w:tcPr>
          <w:p>
            <w:pPr>
              <w:spacing w:after="0"/>
              <w:rPr>
                <w:sz w:val="1"/>
                <w:szCs w:val="1"/>
                <w:color w:val="auto"/>
              </w:rPr>
            </w:pPr>
          </w:p>
        </w:tc>
      </w:tr>
      <w:tr>
        <w:trPr>
          <w:trHeight w:val="210"/>
        </w:trPr>
        <w:tc>
          <w:tcPr>
            <w:tcW w:w="9360" w:type="dxa"/>
            <w:vAlign w:val="bottom"/>
            <w:gridSpan w:val="2"/>
          </w:tcPr>
          <w:p>
            <w:pPr>
              <w:ind w:left="20"/>
              <w:spacing w:after="0" w:line="210" w:lineRule="exact"/>
              <w:rPr>
                <w:sz w:val="20"/>
                <w:szCs w:val="20"/>
                <w:color w:val="auto"/>
              </w:rPr>
            </w:pPr>
            <w:r>
              <w:rPr>
                <w:rFonts w:ascii="Arial" w:cs="Arial" w:eastAsia="Arial" w:hAnsi="Arial"/>
                <w:sz w:val="16"/>
                <w:szCs w:val="16"/>
                <w:color w:val="auto"/>
              </w:rPr>
              <w:t>Goodwill recorded</w:t>
            </w:r>
            <w:r>
              <w:rPr>
                <w:rFonts w:ascii="Arial" w:cs="Arial" w:eastAsia="Arial" w:hAnsi="Arial"/>
                <w:sz w:val="21"/>
                <w:szCs w:val="21"/>
                <w:color w:val="auto"/>
                <w:vertAlign w:val="superscript"/>
              </w:rPr>
              <w:t>(2)</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fair value of the Company’s common stock on the acquisition date.</w:t>
      </w:r>
    </w:p>
    <w:p>
      <w:pPr>
        <w:spacing w:after="0" w:line="13" w:lineRule="exact"/>
        <w:rPr>
          <w:rFonts w:ascii="Arial" w:cs="Arial" w:eastAsia="Arial" w:hAnsi="Arial"/>
          <w:sz w:val="14"/>
          <w:szCs w:val="14"/>
          <w:color w:val="auto"/>
        </w:rPr>
      </w:pPr>
    </w:p>
    <w:p>
      <w:pPr>
        <w:ind w:left="260" w:right="220" w:hanging="252"/>
        <w:spacing w:after="0" w:line="255" w:lineRule="auto"/>
        <w:tabs>
          <w:tab w:leader="none" w:pos="221" w:val="left"/>
        </w:tabs>
        <w:numPr>
          <w:ilvl w:val="0"/>
          <w:numId w:val="4"/>
        </w:numPr>
        <w:rPr>
          <w:rFonts w:ascii="Arial" w:cs="Arial" w:eastAsia="Arial" w:hAnsi="Arial"/>
          <w:sz w:val="14"/>
          <w:szCs w:val="14"/>
          <w:color w:val="auto"/>
        </w:rPr>
      </w:pPr>
      <w:r>
        <w:rPr>
          <w:rFonts w:ascii="Arial" w:cs="Arial" w:eastAsia="Arial" w:hAnsi="Arial"/>
          <w:sz w:val="14"/>
          <w:szCs w:val="14"/>
          <w:color w:val="auto"/>
        </w:rPr>
        <w:t>Goodwill represents the excess of the purchase price over the fair value of identifiable assets acquired and liabilities assumed at the acquisition date. Goodwill acquired was recorded in the European reporting unit and was primarily attributed to anticipated synergies.</w:t>
      </w:r>
    </w:p>
    <w:p>
      <w:pPr>
        <w:spacing w:after="0" w:line="2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fair values of the assets acquired and liabilities assumed are considered preliminary and subject to adjustment as additional information is obtained and reviewed. The final allocation of the purchase price may differ from the preliminary allocation based on completion of the valuation. The Company expects to finalize purchase price allocation within the measurement period, which will not exceed one year from the acquisition date. The primary areas of the purchase price allocation that are not yet finalized relate to lease assets and liabilities, intangible assets and goodwill.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2" w:name="page13"/>
    <w:bookmarkEnd w:id="12"/>
    <w:p>
      <w:pPr>
        <w:ind w:right="60"/>
        <w:spacing w:after="0" w:line="301" w:lineRule="auto"/>
        <w:rPr>
          <w:sz w:val="20"/>
          <w:szCs w:val="20"/>
          <w:color w:val="auto"/>
        </w:rPr>
      </w:pPr>
      <w:r>
        <w:rPr>
          <w:rFonts w:ascii="Arial" w:cs="Arial" w:eastAsia="Arial" w:hAnsi="Arial"/>
          <w:sz w:val="16"/>
          <w:szCs w:val="16"/>
          <w:color w:val="auto"/>
        </w:rPr>
        <w:t>The following unaudited pro forma information presents the Company’s results of operations as if the acquisition of Clipper occurred on January 1, 2021. The pro forma results reflect the impact of incremental interest expense, net of hedging instruments, to finance the acquisition and amortization expense on acquired intangible assets. Adjustments have also been made to remove transaction related costs. The unaudited pro forma information is not necessarily indicative of what the results of operations of the combined company would have been had the acquisition been completed as of January 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auto"/>
                <w:w w:val="93"/>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w w:val="92"/>
              </w:rPr>
              <w:t>Six Months Ended</w:t>
            </w:r>
          </w:p>
        </w:tc>
      </w:tr>
      <w:tr>
        <w:trPr>
          <w:trHeight w:val="216"/>
        </w:trPr>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6"/>
                <w:szCs w:val="16"/>
                <w:b w:val="1"/>
                <w:bCs w:val="1"/>
                <w:color w:val="auto"/>
                <w:w w:val="90"/>
              </w:rPr>
              <w:t>June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6"/>
                <w:szCs w:val="16"/>
                <w:b w:val="1"/>
                <w:bCs w:val="1"/>
                <w:color w:val="auto"/>
                <w:w w:val="90"/>
              </w:rPr>
              <w:t>June 30,</w:t>
            </w:r>
          </w:p>
        </w:tc>
        <w:tc>
          <w:tcPr>
            <w:tcW w:w="880" w:type="dxa"/>
            <w:vAlign w:val="bottom"/>
            <w:tcBorders>
              <w:bottom w:val="single" w:sz="8" w:color="auto"/>
            </w:tcBorders>
          </w:tcPr>
          <w:p>
            <w:pPr>
              <w:spacing w:after="0"/>
              <w:rPr>
                <w:sz w:val="18"/>
                <w:szCs w:val="18"/>
                <w:color w:val="auto"/>
              </w:rPr>
            </w:pPr>
          </w:p>
        </w:tc>
      </w:tr>
      <w:tr>
        <w:trPr>
          <w:trHeight w:val="21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2,334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4,236</w:t>
            </w:r>
          </w:p>
        </w:tc>
      </w:tr>
      <w:tr>
        <w:trPr>
          <w:trHeight w:val="210"/>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Kuehne + Nagel Acquisition</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January 2021, the Company acquired the majority of Kuehne + Nagel’s contract logistics operations in the U.K. Kuehne + Nagel’s operations provide a range of logistics services, including inbound and outbound distribution, reverse logistics management and inventory management. The Company recorded assets and liabilities at fair value. Operating and finance lease assets and liabilities, goodwill and intangible assets acquired were approximately $300 million, $16 million and $26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engages in restructuring actions as part of its ongoing efforts to best use its resources and infrastructure. These actions generally include severance and facility-related costs and are intended to improve efficiency and profitability.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rollforward of the restructuring liability, which is included in Other current liabilities in the Condensed Consolidated Balance Sheets: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3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9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center"/>
              <w:ind w:left="719"/>
              <w:spacing w:after="0"/>
              <w:rPr>
                <w:sz w:val="20"/>
                <w:szCs w:val="20"/>
                <w:color w:val="auto"/>
              </w:rPr>
            </w:pPr>
            <w:r>
              <w:rPr>
                <w:rFonts w:ascii="Arial" w:cs="Arial" w:eastAsia="Arial" w:hAnsi="Arial"/>
                <w:sz w:val="16"/>
                <w:szCs w:val="16"/>
                <w:color w:val="auto"/>
                <w:w w:val="89"/>
              </w:rPr>
              <w:t>3</w:t>
            </w:r>
          </w:p>
        </w:tc>
      </w:tr>
      <w:tr>
        <w:trPr>
          <w:trHeight w:val="213"/>
        </w:trPr>
        <w:tc>
          <w:tcPr>
            <w:tcW w:w="9360" w:type="dxa"/>
            <w:vAlign w:val="bottom"/>
            <w:gridSpan w:val="2"/>
          </w:tcPr>
          <w:p>
            <w:pPr>
              <w:ind w:left="20"/>
              <w:spacing w:after="0"/>
              <w:rPr>
                <w:sz w:val="20"/>
                <w:szCs w:val="20"/>
                <w:color w:val="auto"/>
              </w:rPr>
            </w:pPr>
            <w:r>
              <w:rPr>
                <w:rFonts w:ascii="Arial" w:cs="Arial" w:eastAsia="Arial" w:hAnsi="Arial"/>
                <w:sz w:val="16"/>
                <w:szCs w:val="16"/>
                <w:color w:val="auto"/>
              </w:rPr>
              <w:t>Charges incurred</w:t>
            </w:r>
          </w:p>
        </w:tc>
        <w:tc>
          <w:tcPr>
            <w:tcW w:w="880" w:type="dxa"/>
            <w:vAlign w:val="bottom"/>
          </w:tcPr>
          <w:p>
            <w:pPr>
              <w:spacing w:after="0"/>
              <w:rPr>
                <w:sz w:val="18"/>
                <w:szCs w:val="18"/>
                <w:color w:val="auto"/>
              </w:rPr>
            </w:pPr>
          </w:p>
        </w:tc>
        <w:tc>
          <w:tcPr>
            <w:tcW w:w="1000" w:type="dxa"/>
            <w:vAlign w:val="bottom"/>
          </w:tcPr>
          <w:p>
            <w:pPr>
              <w:jc w:val="center"/>
              <w:ind w:left="719"/>
              <w:spacing w:after="0"/>
              <w:rPr>
                <w:sz w:val="20"/>
                <w:szCs w:val="20"/>
                <w:color w:val="auto"/>
              </w:rPr>
            </w:pPr>
            <w:r>
              <w:rPr>
                <w:rFonts w:ascii="Arial" w:cs="Arial" w:eastAsia="Arial" w:hAnsi="Arial"/>
                <w:sz w:val="16"/>
                <w:szCs w:val="16"/>
                <w:color w:val="auto"/>
                <w:w w:val="89"/>
              </w:rPr>
              <w:t>6</w:t>
            </w:r>
          </w:p>
        </w:tc>
      </w:tr>
      <w:tr>
        <w:trPr>
          <w:trHeight w:val="219"/>
        </w:trPr>
        <w:tc>
          <w:tcPr>
            <w:tcW w:w="9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Payments</w:t>
            </w:r>
          </w:p>
        </w:tc>
        <w:tc>
          <w:tcPr>
            <w:tcW w:w="8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679"/>
              <w:spacing w:after="0"/>
              <w:rPr>
                <w:sz w:val="20"/>
                <w:szCs w:val="20"/>
                <w:color w:val="auto"/>
              </w:rPr>
            </w:pPr>
            <w:r>
              <w:rPr>
                <w:rFonts w:ascii="Arial" w:cs="Arial" w:eastAsia="Arial" w:hAnsi="Arial"/>
                <w:sz w:val="16"/>
                <w:szCs w:val="16"/>
                <w:color w:val="auto"/>
              </w:rPr>
              <w:t>(6)</w:t>
            </w:r>
          </w:p>
        </w:tc>
      </w:tr>
      <w:tr>
        <w:trPr>
          <w:trHeight w:val="207"/>
        </w:trPr>
        <w:tc>
          <w:tcPr>
            <w:tcW w:w="93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89"/>
              </w:rPr>
              <w:t>3</w:t>
            </w:r>
          </w:p>
        </w:tc>
      </w:tr>
      <w:tr>
        <w:trPr>
          <w:trHeight w:val="23"/>
        </w:trPr>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remaining restructuring liability at June 30, 2022 is primarily related to severance payments and is expected to be substantially paid within the next twelve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first quarter of 2022, the Company deconsolidated a 50% owned joint venture. The deconsolidation resulted in an $8 million charge recorded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operating and finance leases primarily for real estate, warehouse equipment, trucks, trailers, containers and material handling equipment.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related to leases were recorded in the Condensed Consolidated Balance Sheets: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2021</w:t>
            </w:r>
          </w:p>
        </w:tc>
      </w:tr>
      <w:tr>
        <w:trPr>
          <w:trHeight w:val="213"/>
        </w:trPr>
        <w:tc>
          <w:tcPr>
            <w:tcW w:w="7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6"/>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Operating lease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3"/>
        </w:trPr>
        <w:tc>
          <w:tcPr>
            <w:tcW w:w="7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Current operating lease liabilities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19"/>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r>
      <w:tr>
        <w:trPr>
          <w:trHeight w:val="207"/>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Total operating lease liabilities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27"/>
        </w:trPr>
        <w:tc>
          <w:tcPr>
            <w:tcW w:w="7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13"/>
        </w:trPr>
        <w:tc>
          <w:tcPr>
            <w:tcW w:w="740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Finance leases: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4"/>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7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Short-term borrowings and obligations under finance leases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7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Long-term debt and obligations under finance leases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34"/>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finance lease liabilities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recorded in the Condensed Consolidated Statements of Operations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2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Operating lease cost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Short-term lease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61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Variable lease cost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operating lease cost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193"/>
        </w:trPr>
        <w:tc>
          <w:tcPr>
            <w:tcW w:w="6140" w:type="dxa"/>
            <w:vAlign w:val="bottom"/>
            <w:gridSpan w:val="2"/>
          </w:tcPr>
          <w:p>
            <w:pPr>
              <w:ind w:left="20"/>
              <w:spacing w:after="0"/>
              <w:rPr>
                <w:sz w:val="20"/>
                <w:szCs w:val="20"/>
                <w:color w:val="auto"/>
              </w:rPr>
            </w:pPr>
            <w:r>
              <w:rPr>
                <w:rFonts w:ascii="Arial" w:cs="Arial" w:eastAsia="Arial" w:hAnsi="Arial"/>
                <w:sz w:val="16"/>
                <w:szCs w:val="16"/>
                <w:b w:val="1"/>
                <w:bCs w:val="1"/>
                <w:color w:val="auto"/>
              </w:rPr>
              <w:t>Finance leases: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leased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61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expense on lease liabilities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finance lease cost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7"/>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Total operating and finance lease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r>
      <w:tr>
        <w:trPr>
          <w:trHeight w:val="23"/>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62"/>
        </w:trPr>
        <w:tc>
          <w:tcPr>
            <w:tcW w:w="740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w w:val="99"/>
              </w:rPr>
              <w:t>Leased assets obtained in exchange for new operating lease liabilities, including $249 and $281 from an</w:t>
            </w: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125"/>
        </w:trPr>
        <w:tc>
          <w:tcPr>
            <w:tcW w:w="7400" w:type="dxa"/>
            <w:vAlign w:val="bottom"/>
            <w:gridSpan w:val="2"/>
            <w:vMerge w:val="restart"/>
            <w:shd w:val="clear" w:color="auto" w:fill="CCEEFF"/>
          </w:tcPr>
          <w:p>
            <w:pPr>
              <w:ind w:left="180"/>
              <w:spacing w:after="0"/>
              <w:rPr>
                <w:sz w:val="20"/>
                <w:szCs w:val="20"/>
                <w:color w:val="auto"/>
              </w:rPr>
            </w:pPr>
            <w:r>
              <w:rPr>
                <w:rFonts w:ascii="Arial" w:cs="Arial" w:eastAsia="Arial" w:hAnsi="Arial"/>
                <w:sz w:val="16"/>
                <w:szCs w:val="16"/>
                <w:color w:val="auto"/>
              </w:rPr>
              <w:t>acquisition in 2022 and 2021, respectively</w:t>
            </w:r>
          </w:p>
        </w:tc>
        <w:tc>
          <w:tcPr>
            <w:tcW w:w="440" w:type="dxa"/>
            <w:vAlign w:val="bottom"/>
            <w:vMerge w:val="continue"/>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vMerge w:val="continue"/>
            <w:shd w:val="clear" w:color="auto" w:fill="CCEEFF"/>
          </w:tcPr>
          <w:p>
            <w:pPr>
              <w:spacing w:after="0"/>
              <w:rPr>
                <w:sz w:val="10"/>
                <w:szCs w:val="10"/>
                <w:color w:val="auto"/>
              </w:rPr>
            </w:pPr>
          </w:p>
        </w:tc>
        <w:tc>
          <w:tcPr>
            <w:tcW w:w="14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7400" w:type="dxa"/>
            <w:vAlign w:val="bottom"/>
            <w:gridSpan w:val="2"/>
            <w:vMerge w:val="continue"/>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740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3"/>
              </w:rPr>
              <w:t>Leased assets obtained in exchange for new finance lease liabilities, including $14 and $23 from an acquisition</w:t>
            </w:r>
          </w:p>
        </w:tc>
        <w:tc>
          <w:tcPr>
            <w:tcW w:w="44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25"/>
        </w:trPr>
        <w:tc>
          <w:tcPr>
            <w:tcW w:w="7400" w:type="dxa"/>
            <w:vAlign w:val="bottom"/>
            <w:gridSpan w:val="2"/>
            <w:vMerge w:val="restart"/>
          </w:tcPr>
          <w:p>
            <w:pPr>
              <w:ind w:left="180"/>
              <w:spacing w:after="0"/>
              <w:rPr>
                <w:sz w:val="20"/>
                <w:szCs w:val="20"/>
                <w:color w:val="auto"/>
              </w:rPr>
            </w:pPr>
            <w:r>
              <w:rPr>
                <w:rFonts w:ascii="Arial" w:cs="Arial" w:eastAsia="Arial" w:hAnsi="Arial"/>
                <w:sz w:val="16"/>
                <w:szCs w:val="16"/>
                <w:color w:val="auto"/>
              </w:rPr>
              <w:t>in 2022 and 2021, respectively</w:t>
            </w:r>
          </w:p>
        </w:tc>
        <w:tc>
          <w:tcPr>
            <w:tcW w:w="4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4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Debt and Financing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value of debt:</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Rate</w:t>
            </w:r>
            <w:r>
              <w:rPr>
                <w:rFonts w:ascii="Arial" w:cs="Arial" w:eastAsia="Arial" w:hAnsi="Arial"/>
                <w:sz w:val="21"/>
                <w:szCs w:val="21"/>
                <w:b w:val="1"/>
                <w:bCs w:val="1"/>
                <w:color w:val="auto"/>
                <w:w w:val="84"/>
                <w:vertAlign w:val="superscript"/>
              </w:rPr>
              <w:t>(1)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5"/>
              </w:rPr>
              <w:t>December 31, 2021</w:t>
            </w:r>
          </w:p>
        </w:tc>
      </w:tr>
      <w:tr>
        <w:trPr>
          <w:trHeight w:val="209"/>
        </w:trPr>
        <w:tc>
          <w:tcPr>
            <w:tcW w:w="634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1.65% Unsecured notes due 2026</w:t>
            </w:r>
            <w:r>
              <w:rPr>
                <w:rFonts w:ascii="Arial" w:cs="Arial" w:eastAsia="Arial" w:hAnsi="Arial"/>
                <w:sz w:val="21"/>
                <w:szCs w:val="21"/>
                <w:color w:val="auto"/>
                <w:vertAlign w:val="superscript"/>
              </w:rPr>
              <w:t>(2)</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16"/>
        </w:trPr>
        <w:tc>
          <w:tcPr>
            <w:tcW w:w="63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2.65% Unsecured notes due 2031</w:t>
            </w:r>
            <w:r>
              <w:rPr>
                <w:rFonts w:ascii="Arial" w:cs="Arial" w:eastAsia="Arial" w:hAnsi="Arial"/>
                <w:sz w:val="21"/>
                <w:szCs w:val="21"/>
                <w:color w:val="auto"/>
                <w:vertAlign w:val="superscript"/>
              </w:rPr>
              <w:t>(3)</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2.65%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216"/>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Two-Year Term Loan due 2024</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2.58%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3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Three-Year Term Loan due 2025</w:t>
            </w:r>
            <w:r>
              <w:rPr>
                <w:rFonts w:ascii="Arial" w:cs="Arial" w:eastAsia="Arial" w:hAnsi="Arial"/>
                <w:sz w:val="21"/>
                <w:szCs w:val="21"/>
                <w:color w:val="auto"/>
                <w:vertAlign w:val="superscript"/>
              </w:rPr>
              <w:t>(4)</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2.58%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3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Five-Year Term Loan due 2027</w:t>
            </w:r>
            <w:r>
              <w:rPr>
                <w:rFonts w:ascii="Arial" w:cs="Arial" w:eastAsia="Arial" w:hAnsi="Arial"/>
                <w:sz w:val="21"/>
                <w:szCs w:val="21"/>
                <w:color w:val="auto"/>
                <w:vertAlign w:val="superscript"/>
              </w:rPr>
              <w:t>(4)</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Finance leases and other</w:t>
            </w:r>
          </w:p>
        </w:tc>
        <w:tc>
          <w:tcPr>
            <w:tcW w:w="9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92"/>
              </w:rPr>
              <w:t>Various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12"/>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debt and obligations under finance leases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r>
      <w:tr>
        <w:trPr>
          <w:trHeight w:val="213"/>
        </w:trPr>
        <w:tc>
          <w:tcPr>
            <w:tcW w:w="63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Short-term borrowings and obligations under finance leases</w:t>
            </w: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34"/>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long-term debt and obligations under finance leases</w:t>
            </w: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rate as of June 30, 2022.</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unamortized debt issuance costs and discount of $3 million as of June 30, 2022 and December 31, 2021.</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unamortized debt issuance costs and discount of $4 million as of June 30, 2022 and December 31, 2021.</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unamortized debt issuance costs of $1 million as of June 30, 2022.</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Five-Year Term Loan</w:t>
      </w:r>
    </w:p>
    <w:p>
      <w:pPr>
        <w:spacing w:after="0" w:line="25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May 25, 2022, the Company entered into a five-year unsecured Term Loan (the “Five-Year Term Loan due 2027”) that provided a $500 million unsecured term loan facility to fund the Clipper Acquisition. On May 26, 2022, the Company borrowed $500 million that will mature on May 26, 2027. The loan bears interest at a fluctuating rate per annum equal to, at the Company’s option, the alternate base rate or the adjusted Secured Overnight Financing Rate (SOFR), plus an applicable margin based on the Company’s credit ratings.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Delayed Draw Term Loan</w:t>
      </w:r>
    </w:p>
    <w:p>
      <w:pPr>
        <w:spacing w:after="0" w:line="23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March 22, 2022, the Company entered into an unsecured delayed draw Term Loan (the “Delayed Draw Term Loan”) that provided a £375 million ($457 million as of June 30, 2022) unsecured term loan facility to fund the Clipper Acquisition. The loans were available to the Company in U.S. dollars or British pounds sterling. On May 26, 2022, the Company borrowed, in U.S. dollars, a $165 million 2-year term loan tranche (the “Two-Year Term Loan due 2024”) and a $235 million 3-year term loan tranche (the “Three-Year Term Loan due 2025”) that will mature on May 26, 2024 and May 26, 2025, respectively. Loans bear interest at a fluctuating rate per annum equal to, at the Company’s option, the alternate base rate or the adjusted SOFR, plus an applicable margin based on the Company’s credit ratings.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Term Loan</w:t>
      </w:r>
    </w:p>
    <w:p>
      <w:pPr>
        <w:spacing w:after="0" w:line="239"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On February 28, 2022, the Company entered into an unsecured Bridge Term Loan (the “Bridge Term Loan”) that provided a £745 million ($907 million as of June 30, 2022) unsecured term loan facility to fund the Clipper Acquisition. The commitments under the Bridge Term Loan were terminated with the effectiveness of the Five-Year Term Loan and the Delayed Draw Term Loan. No amounts were drawn under the Bridge Term Loan 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2021, the Company entered into a five-year unsecured multi-currency Revolving Credit Facility (the “Revolving Credit Facility”). The Revolving Credit Facility provides commitments of up to $800 million, of which $60 million is available for the issuance of letters of credit. No amounts were outstanding under the Revolving Credit Facility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Sales of Certain Receivables</w:t>
      </w:r>
    </w:p>
    <w:p>
      <w:pPr>
        <w:spacing w:after="0" w:line="2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sells certain of its trade accounts receivables on a non-recourse basis to third-party financial institutions under various factoring agreements. The Company also sold certain European trade accounts receivables under a securitization program. In the first quarter of 2022, the Company terminated its securitization program. The Company accounts for these transactions as sales of receivables and presents cash proceeds as cash provided by operating activities in the Condensed Consolidated Statements of Cash Flows. The Company uses the sale of certain receivables to help manage its working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2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Factoring agreements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Receivables sold in period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consideration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b w:val="1"/>
                <w:bCs w:val="1"/>
                <w:color w:val="auto"/>
              </w:rPr>
              <w:t>Securitization program</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Receivables sold in period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r>
      <w:tr>
        <w:trPr>
          <w:trHeight w:val="210"/>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Cash consideration</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902</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covenants in the Revolving Credit Facility, the Five-Year Term Loan and the Delayed Draw Term Loan, which are customary for financings of this type, limit the Company’s ability to incur indebtedness and grant liens, among other restrictions. In addition, the facilities require the Company to maintain a consolidated leverage ratio below a specified maximum.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 Company was in compliance with the covenants contained in its debt and financing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 and Financial Instruments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19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23"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ind w:left="660" w:right="88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bases its fair value estimates on market assumptions and available information. The carrying values of cash and cash equivalents, accounts receivable, accounts payable, accrued expenses and current maturities of long-term debt approximated their fair values as of June 30, 2022 and December 31, 2021,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debt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June 30, 2022</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 2021</w:t>
            </w:r>
          </w:p>
        </w:tc>
        <w:tc>
          <w:tcPr>
            <w:tcW w:w="460" w:type="dxa"/>
            <w:vAlign w:val="bottom"/>
            <w:tcBorders>
              <w:bottom w:val="single" w:sz="8" w:color="auto"/>
            </w:tcBorders>
          </w:tcPr>
          <w:p>
            <w:pPr>
              <w:spacing w:after="0"/>
              <w:rPr>
                <w:sz w:val="18"/>
                <w:szCs w:val="18"/>
                <w:color w:val="auto"/>
              </w:rPr>
            </w:pPr>
          </w:p>
        </w:tc>
      </w:tr>
      <w:tr>
        <w:trPr>
          <w:trHeight w:val="213"/>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Level</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Carrying Value</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Carrying Value</w:t>
            </w:r>
          </w:p>
        </w:tc>
      </w:tr>
      <w:tr>
        <w:trPr>
          <w:trHeight w:val="212"/>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1.65% Unsecured notes due 2026</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13"/>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2.65% Unsecured notes due 2031</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394</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21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Two-Year Term Loan due 2024</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Three-Year Term Loan due 2025</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Five-Year Term Loan due 2027</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5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 Company directly manages its exposure to risks arising from business operations and economic factors, including fluctuations in interest rates and foreign currencies. The Company uses derivative instruments to manage the volatility related to these exposures. The objective of these derivative instruments is to reduce fluctuations in earnings and cash flows associated with changes in foreign currency exchange rates and interest rates. These financial instruments are not used for trading or other speculative purposes. The Company does not expect to incur any losses as a result of counterparty default.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uses fixed-to-fixed or variable-to-variable cross-currency swap agreements to hedge its net investments in foreign operations against future volatility in the exchange rates between the U.S. dollar and the associated foreign currencies. The Company designated these cross-currency swap agreements as qualifying hedging instruments and accounts for them as net investment hedges.</w:t>
      </w:r>
    </w:p>
    <w:p>
      <w:pPr>
        <w:spacing w:after="0" w:line="21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the first quarter of 2022, the Company extended certain fixed-to-fixed cross-currency swap agreements scheduled to mature between 2022 to 2027, with an aggregate notional amount of $322 million. In the second quarter of 2022, the Company extended a fixed-to-fixed cross-currency swap agreement scheduled to mature in 2026 to 2027, with an aggregate notional amount of $165 million. Additionally, in the second quarter of 2022, the Company entered into multiple cross-currency swap agreements with maturity dates ranging from 2023 to 2027, with an aggregate notional amount of $900 million, of which $250 million was amended during the quarter. In connection with the extensions and amendments, the Company received cash of $2 million and</w:t>
      </w:r>
    </w:p>
    <w:p>
      <w:pPr>
        <w:spacing w:after="0" w:line="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$12 million representing the fair value of the swap and interest accrued through the date of termination for the three and the six months ended June 30, 2022,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252"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The Company uses interest rate swap agreements to hedge the variability of cash flows resulting from floating interest rate borrowings. The Company designated these interest rate swap agreements as qualifying hedging instruments and accounts for them as cash flow hedges. When an interest rate swap agreement qualifies for hedge accounting as a cash flow hedge, the changes in the fair value are recorded in equity as a component of AOCI and are reclassified into Interest expense, net over the life of the underlying debt, as interest on the Company’s floating rate debt is accrued.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In the second quarter of 2022, the Company entered into multiple interest rate swap agreements with an aggregate notional amount of $250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5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 is exposed to certain risks relating to its ongoing business operations including foreign currency exchange rate risk. The Company uses foreign currency option contracts to mitigate the risk of a reduction in the value of earnings from its operations that use the Euro or British pound sterling as their functional currency. Additionally, the Company uses foreign currency forward contracts to mitigate exposure from variability of cash flows related to the forecasted interest and principal payments on intercompany loans. The foreign currency forward contracts generally expire within 12 months. While these derivatives are hedging the fluctuations in foreign currencies, they do not meet the requirements to be accounted for as hedging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derivative instruments and the related notional amounts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Notional</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Notional</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62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20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Amount</w:t>
            </w:r>
          </w:p>
        </w:tc>
        <w:tc>
          <w:tcPr>
            <w:tcW w:w="9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Balance Sheet Caption</w:t>
            </w:r>
          </w:p>
        </w:tc>
        <w:tc>
          <w:tcPr>
            <w:tcW w:w="0" w:type="dxa"/>
            <w:vAlign w:val="bottom"/>
          </w:tcPr>
          <w:p>
            <w:pPr>
              <w:spacing w:after="0"/>
              <w:rPr>
                <w:sz w:val="1"/>
                <w:szCs w:val="1"/>
                <w:color w:val="auto"/>
              </w:rPr>
            </w:pPr>
          </w:p>
        </w:tc>
      </w:tr>
      <w:tr>
        <w:trPr>
          <w:trHeight w:val="84"/>
        </w:trPr>
        <w:tc>
          <w:tcPr>
            <w:tcW w:w="3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hedges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Cross-currency swap agreements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8"/>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Cross-currency swap agreements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213"/>
        </w:trPr>
        <w:tc>
          <w:tcPr>
            <w:tcW w:w="3620" w:type="dxa"/>
            <w:vAlign w:val="bottom"/>
            <w:gridSpan w:val="2"/>
          </w:tcPr>
          <w:p>
            <w:pPr>
              <w:ind w:left="140"/>
              <w:spacing w:after="0"/>
              <w:rPr>
                <w:sz w:val="20"/>
                <w:szCs w:val="20"/>
                <w:color w:val="auto"/>
              </w:rPr>
            </w:pPr>
            <w:r>
              <w:rPr>
                <w:rFonts w:ascii="Arial" w:cs="Arial" w:eastAsia="Arial" w:hAnsi="Arial"/>
                <w:sz w:val="16"/>
                <w:szCs w:val="16"/>
                <w:color w:val="auto"/>
              </w:rPr>
              <w:t>Cross-currency swap agreements</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rate swaps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gridSpan w:val="2"/>
          </w:tcPr>
          <w:p>
            <w:pPr>
              <w:ind w:left="140"/>
              <w:spacing w:after="0"/>
              <w:rPr>
                <w:sz w:val="20"/>
                <w:szCs w:val="20"/>
                <w:color w:val="auto"/>
              </w:rPr>
            </w:pPr>
            <w:r>
              <w:rPr>
                <w:rFonts w:ascii="Arial" w:cs="Arial" w:eastAsia="Arial" w:hAnsi="Arial"/>
                <w:sz w:val="16"/>
                <w:szCs w:val="16"/>
                <w:color w:val="auto"/>
              </w:rPr>
              <w:t>Foreign currency option contracts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8"/>
                <w:szCs w:val="18"/>
                <w:color w:val="auto"/>
              </w:rPr>
            </w:pP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220" w:type="dxa"/>
            <w:vAlign w:val="bottom"/>
          </w:tcPr>
          <w:p>
            <w:pPr>
              <w:jc w:val="right"/>
              <w:spacing w:after="0"/>
              <w:rPr>
                <w:sz w:val="20"/>
                <w:szCs w:val="20"/>
                <w:color w:val="auto"/>
              </w:rPr>
            </w:pPr>
            <w:r>
              <w:rPr>
                <w:rFonts w:ascii="Arial" w:cs="Arial" w:eastAsia="Arial" w:hAnsi="Arial"/>
                <w:sz w:val="16"/>
                <w:szCs w:val="16"/>
                <w:color w:val="auto"/>
                <w:w w:val="78"/>
              </w:rPr>
              <w:t>23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w w:val="89"/>
              </w:rPr>
              <w:t>11</w:t>
            </w:r>
          </w:p>
        </w:tc>
        <w:tc>
          <w:tcPr>
            <w:tcW w:w="10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Foreign currency option contracts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9"/>
              </w:rPr>
              <w:t>—</w:t>
            </w:r>
          </w:p>
        </w:tc>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June 30, 2022, and December 31, 2021, the derivatives were classified as Level 2 within the fair value hierarchy. The derivatives are valued using inputs other than quoted prices such as foreign exchange rates and yield curves.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Derivatives designated as hedges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effect of hedges on AOCI and in the Condensed Consolidated Statements of Operations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0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3"/>
              </w:rPr>
              <w:t>Three Months Ended June 30, 2022</w:t>
            </w:r>
          </w:p>
        </w:tc>
        <w:tc>
          <w:tcPr>
            <w:tcW w:w="120" w:type="dxa"/>
            <w:vAlign w:val="bottom"/>
          </w:tcPr>
          <w:p>
            <w:pPr>
              <w:spacing w:after="0"/>
              <w:rPr>
                <w:sz w:val="16"/>
                <w:szCs w:val="16"/>
                <w:color w:val="auto"/>
              </w:rPr>
            </w:pPr>
          </w:p>
        </w:tc>
        <w:tc>
          <w:tcPr>
            <w:tcW w:w="44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w w:val="92"/>
              </w:rPr>
              <w:t>Six Months Ended June 30, 2022</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 Gain or</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Gain or (Loss)</w:t>
            </w: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48"/>
              <w:spacing w:after="0" w:line="135" w:lineRule="exact"/>
              <w:rPr>
                <w:sz w:val="20"/>
                <w:szCs w:val="20"/>
                <w:color w:val="auto"/>
              </w:rPr>
            </w:pPr>
            <w:r>
              <w:rPr>
                <w:rFonts w:ascii="Arial" w:cs="Arial" w:eastAsia="Arial" w:hAnsi="Arial"/>
                <w:sz w:val="14"/>
                <w:szCs w:val="14"/>
                <w:b w:val="1"/>
                <w:bCs w:val="1"/>
                <w:color w:val="auto"/>
                <w:w w:val="92"/>
              </w:rPr>
              <w:t>Gain or (Loss)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 Gain or</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Gain or (Loss)</w:t>
            </w: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48"/>
              <w:spacing w:after="0" w:line="135" w:lineRule="exact"/>
              <w:rPr>
                <w:sz w:val="20"/>
                <w:szCs w:val="20"/>
                <w:color w:val="auto"/>
              </w:rPr>
            </w:pPr>
            <w:r>
              <w:rPr>
                <w:rFonts w:ascii="Arial" w:cs="Arial" w:eastAsia="Arial" w:hAnsi="Arial"/>
                <w:sz w:val="14"/>
                <w:szCs w:val="14"/>
                <w:b w:val="1"/>
                <w:bCs w:val="1"/>
                <w:color w:val="auto"/>
                <w:w w:val="92"/>
              </w:rPr>
              <w:t>Gain or (Loss)</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Recognized in Net</w:t>
            </w: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2"/>
              </w:rPr>
              <w:t>Recognized in Net</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(Loss) Recognized in</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Reclassified from</w:t>
            </w: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Income on Derivative</w:t>
            </w: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(Loss) Recognized in</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Reclassified from</w:t>
            </w:r>
          </w:p>
        </w:tc>
        <w:tc>
          <w:tcPr>
            <w:tcW w:w="14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35"/>
        </w:trPr>
        <w:tc>
          <w:tcPr>
            <w:tcW w:w="21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Other Comprehensive</w:t>
            </w:r>
          </w:p>
        </w:tc>
        <w:tc>
          <w:tcPr>
            <w:tcW w:w="140" w:type="dxa"/>
            <w:vAlign w:val="bottom"/>
          </w:tcPr>
          <w:p>
            <w:pPr>
              <w:spacing w:after="0"/>
              <w:rPr>
                <w:sz w:val="11"/>
                <w:szCs w:val="11"/>
                <w:color w:val="auto"/>
              </w:rPr>
            </w:pPr>
          </w:p>
        </w:tc>
        <w:tc>
          <w:tcPr>
            <w:tcW w:w="14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AOCI into Net</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(Excluded from</w:t>
            </w:r>
          </w:p>
        </w:tc>
        <w:tc>
          <w:tcPr>
            <w:tcW w:w="15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Other Comprehensive</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AOCI into Net</w:t>
            </w:r>
          </w:p>
        </w:tc>
        <w:tc>
          <w:tcPr>
            <w:tcW w:w="120" w:type="dxa"/>
            <w:vAlign w:val="bottom"/>
          </w:tcPr>
          <w:p>
            <w:pPr>
              <w:spacing w:after="0"/>
              <w:rPr>
                <w:sz w:val="11"/>
                <w:szCs w:val="11"/>
                <w:color w:val="auto"/>
              </w:rPr>
            </w:pPr>
          </w:p>
        </w:tc>
        <w:tc>
          <w:tcPr>
            <w:tcW w:w="13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4"/>
              </w:rPr>
              <w:t>(Excluded from</w:t>
            </w:r>
          </w:p>
        </w:tc>
        <w:tc>
          <w:tcPr>
            <w:tcW w:w="0" w:type="dxa"/>
            <w:vAlign w:val="bottom"/>
          </w:tcPr>
          <w:p>
            <w:pPr>
              <w:spacing w:after="0"/>
              <w:rPr>
                <w:sz w:val="1"/>
                <w:szCs w:val="1"/>
                <w:color w:val="auto"/>
              </w:rPr>
            </w:pPr>
          </w:p>
        </w:tc>
      </w:tr>
      <w:tr>
        <w:trPr>
          <w:trHeight w:val="189"/>
        </w:trPr>
        <w:tc>
          <w:tcPr>
            <w:tcW w:w="2100" w:type="dxa"/>
            <w:vAlign w:val="bottom"/>
            <w:gridSpan w:val="2"/>
            <w:vMerge w:val="continue"/>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Income on Derivative</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87"/>
              </w:rPr>
              <w:t>Income</w:t>
            </w:r>
            <w:r>
              <w:rPr>
                <w:rFonts w:ascii="Arial" w:cs="Arial" w:eastAsia="Arial" w:hAnsi="Arial"/>
                <w:sz w:val="18"/>
                <w:szCs w:val="18"/>
                <w:b w:val="1"/>
                <w:bCs w:val="1"/>
                <w:color w:val="auto"/>
                <w:w w:val="87"/>
                <w:vertAlign w:val="superscript"/>
              </w:rPr>
              <w:t>(1)</w:t>
            </w:r>
          </w:p>
        </w:tc>
        <w:tc>
          <w:tcPr>
            <w:tcW w:w="1540" w:type="dxa"/>
            <w:vAlign w:val="bottom"/>
            <w:gridSpan w:val="3"/>
          </w:tcPr>
          <w:p>
            <w:pPr>
              <w:jc w:val="center"/>
              <w:ind w:right="100"/>
              <w:spacing w:after="0" w:line="189" w:lineRule="exact"/>
              <w:rPr>
                <w:sz w:val="20"/>
                <w:szCs w:val="20"/>
                <w:color w:val="auto"/>
              </w:rPr>
            </w:pPr>
            <w:r>
              <w:rPr>
                <w:rFonts w:ascii="Arial" w:cs="Arial" w:eastAsia="Arial" w:hAnsi="Arial"/>
                <w:sz w:val="14"/>
                <w:szCs w:val="14"/>
                <w:b w:val="1"/>
                <w:bCs w:val="1"/>
                <w:color w:val="auto"/>
                <w:w w:val="86"/>
              </w:rPr>
              <w:t>effectiveness testing)</w:t>
            </w:r>
            <w:r>
              <w:rPr>
                <w:rFonts w:ascii="Arial" w:cs="Arial" w:eastAsia="Arial" w:hAnsi="Arial"/>
                <w:sz w:val="18"/>
                <w:szCs w:val="18"/>
                <w:b w:val="1"/>
                <w:bCs w:val="1"/>
                <w:color w:val="auto"/>
                <w:w w:val="86"/>
                <w:vertAlign w:val="superscript"/>
              </w:rPr>
              <w:t>(1)</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Income on Derivative</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87"/>
              </w:rPr>
              <w:t>Income</w:t>
            </w:r>
            <w:r>
              <w:rPr>
                <w:rFonts w:ascii="Arial" w:cs="Arial" w:eastAsia="Arial" w:hAnsi="Arial"/>
                <w:sz w:val="18"/>
                <w:szCs w:val="18"/>
                <w:b w:val="1"/>
                <w:bCs w:val="1"/>
                <w:color w:val="auto"/>
                <w:w w:val="87"/>
                <w:vertAlign w:val="superscript"/>
              </w:rPr>
              <w:t>(1)</w:t>
            </w:r>
          </w:p>
        </w:tc>
        <w:tc>
          <w:tcPr>
            <w:tcW w:w="144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86"/>
              </w:rPr>
              <w:t>effectiveness testing)</w:t>
            </w:r>
            <w:r>
              <w:rPr>
                <w:rFonts w:ascii="Arial" w:cs="Arial" w:eastAsia="Arial" w:hAnsi="Arial"/>
                <w:sz w:val="18"/>
                <w:szCs w:val="18"/>
                <w:b w:val="1"/>
                <w:bCs w:val="1"/>
                <w:color w:val="auto"/>
                <w:w w:val="86"/>
                <w:vertAlign w:val="superscript"/>
              </w:rPr>
              <w:t>(1)</w:t>
            </w:r>
          </w:p>
        </w:tc>
        <w:tc>
          <w:tcPr>
            <w:tcW w:w="0" w:type="dxa"/>
            <w:vAlign w:val="bottom"/>
          </w:tcPr>
          <w:p>
            <w:pPr>
              <w:spacing w:after="0"/>
              <w:rPr>
                <w:sz w:val="1"/>
                <w:szCs w:val="1"/>
                <w:color w:val="auto"/>
              </w:rPr>
            </w:pPr>
          </w:p>
        </w:tc>
      </w:tr>
      <w:tr>
        <w:trPr>
          <w:trHeight w:val="129"/>
        </w:trPr>
        <w:tc>
          <w:tcPr>
            <w:tcW w:w="20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w w:val="99"/>
              </w:rPr>
              <w:t>Derivatives designated as net</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investment hedges</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00" w:type="dxa"/>
            <w:vAlign w:val="bottom"/>
            <w:gridSpan w:val="2"/>
          </w:tcPr>
          <w:p>
            <w:pPr>
              <w:ind w:left="20"/>
              <w:spacing w:after="0"/>
              <w:rPr>
                <w:sz w:val="20"/>
                <w:szCs w:val="20"/>
                <w:color w:val="auto"/>
              </w:rPr>
            </w:pPr>
            <w:r>
              <w:rPr>
                <w:rFonts w:ascii="Arial" w:cs="Arial" w:eastAsia="Arial" w:hAnsi="Arial"/>
                <w:sz w:val="14"/>
                <w:szCs w:val="14"/>
                <w:color w:val="auto"/>
                <w:w w:val="98"/>
              </w:rPr>
              <w:t>Cross-currency swap agreements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ind w:left="112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ind w:left="1120"/>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21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b w:val="1"/>
                <w:bCs w:val="1"/>
                <w:color w:val="auto"/>
                <w:w w:val="99"/>
              </w:rPr>
              <w:t>Derivatives designated as cash</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flow hedges</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0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ind w:left="1140"/>
              <w:spacing w:after="0"/>
              <w:rPr>
                <w:sz w:val="20"/>
                <w:szCs w:val="20"/>
                <w:color w:val="auto"/>
              </w:rPr>
            </w:pPr>
            <w:r>
              <w:rPr>
                <w:rFonts w:ascii="Arial" w:cs="Arial" w:eastAsia="Arial" w:hAnsi="Arial"/>
                <w:sz w:val="14"/>
                <w:szCs w:val="14"/>
                <w:color w:val="auto"/>
                <w:w w:val="93"/>
              </w:rPr>
              <w:t>(1)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ind w:left="112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(1) Amounts reclassified to net income are reported within Interest expense, net in the Condensed Consolidated Statements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derivative instruments recorded in the consolidated financial statements on or before June 30,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hedges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gains recognized in earnings for foreign currency option and forward contracts were $16 million and $24 million, of which $9 million and $15 million were unrealized, for the three and six months ended June 30, 2022, respectively. These amounts are recorded in Other income (expense), net in the Condensed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July 2021, the Company became the plan sponsor for a retirement plan in the U.K. (the “U.K. Retirement Plan”). Components of the net periodic benefit cost under the U.K. Retirement Plan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ind w:left="340"/>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1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cost</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8"/>
              </w:rPr>
              <w:t>(11)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r>
      <w:tr>
        <w:trPr>
          <w:trHeight w:val="213"/>
        </w:trPr>
        <w:tc>
          <w:tcPr>
            <w:tcW w:w="6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Expected return on plan assets</w:t>
            </w: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r>
      <w:tr>
        <w:trPr>
          <w:trHeight w:val="233"/>
        </w:trPr>
        <w:tc>
          <w:tcPr>
            <w:tcW w:w="612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Net periodic benefit income </w:t>
            </w:r>
            <w:r>
              <w:rPr>
                <w:rFonts w:ascii="Arial" w:cs="Arial" w:eastAsia="Arial" w:hAnsi="Arial"/>
                <w:sz w:val="21"/>
                <w:szCs w:val="21"/>
                <w:color w:val="auto"/>
                <w:vertAlign w:val="superscript"/>
              </w:rPr>
              <w:t>(1)</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(1) Net periodic benefit income is recorded within Other income (expense), net in the Condensed Consolidated Statements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maintains defined benefit pension plans for other foreign subsidiaries that are excluded from the disclosures due to their immateriality.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5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Company’s costs for qualified defined contribution plans was $4 million for the three months ended June 30, 2022 and 2021, and $8 million for the six months ended June 30, 2022 and 2021. Defined contribution costs were primarily recorded within Direct operating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9.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per share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26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r>
      <w:tr>
        <w:trPr>
          <w:trHeight w:val="215"/>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millions, shares in thousands, except per share data)</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line="216" w:lineRule="exact"/>
              <w:rPr>
                <w:sz w:val="20"/>
                <w:szCs w:val="20"/>
                <w:color w:val="auto"/>
              </w:rPr>
            </w:pPr>
            <w:r>
              <w:rPr>
                <w:rFonts w:ascii="Arial" w:cs="Arial" w:eastAsia="Arial" w:hAnsi="Arial"/>
                <w:sz w:val="16"/>
                <w:szCs w:val="16"/>
                <w:b w:val="1"/>
                <w:bCs w:val="1"/>
                <w:color w:val="auto"/>
                <w:w w:val="94"/>
              </w:rPr>
              <w:t>2021</w:t>
            </w:r>
            <w:r>
              <w:rPr>
                <w:rFonts w:ascii="Arial" w:cs="Arial" w:eastAsia="Arial" w:hAnsi="Arial"/>
                <w:sz w:val="21"/>
                <w:szCs w:val="21"/>
                <w:b w:val="1"/>
                <w:bCs w:val="1"/>
                <w:color w:val="auto"/>
                <w:w w:val="94"/>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line="216" w:lineRule="exact"/>
              <w:rPr>
                <w:sz w:val="20"/>
                <w:szCs w:val="20"/>
                <w:color w:val="auto"/>
              </w:rPr>
            </w:pPr>
            <w:r>
              <w:rPr>
                <w:rFonts w:ascii="Arial" w:cs="Arial" w:eastAsia="Arial" w:hAnsi="Arial"/>
                <w:sz w:val="16"/>
                <w:szCs w:val="16"/>
                <w:b w:val="1"/>
                <w:bCs w:val="1"/>
                <w:color w:val="auto"/>
                <w:w w:val="94"/>
              </w:rPr>
              <w:t>2021</w:t>
            </w:r>
            <w:r>
              <w:rPr>
                <w:rFonts w:ascii="Arial" w:cs="Arial" w:eastAsia="Arial" w:hAnsi="Arial"/>
                <w:sz w:val="21"/>
                <w:szCs w:val="21"/>
                <w:b w:val="1"/>
                <w:bCs w:val="1"/>
                <w:color w:val="auto"/>
                <w:w w:val="94"/>
                <w:vertAlign w:val="superscript"/>
              </w:rPr>
              <w:t>(1)</w:t>
            </w:r>
          </w:p>
        </w:tc>
      </w:tr>
      <w:tr>
        <w:trPr>
          <w:trHeight w:val="21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shares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6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weighted-average common shares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114,626</w:t>
            </w:r>
          </w:p>
        </w:tc>
      </w:tr>
      <w:tr>
        <w:trPr>
          <w:trHeight w:val="213"/>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Dilutive effect of stock-based awards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Diluted weighted-average common shares</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116,646</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114,626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116,111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114,626</w:t>
            </w:r>
          </w:p>
        </w:tc>
      </w:tr>
      <w:tr>
        <w:trPr>
          <w:trHeight w:val="216"/>
        </w:trPr>
        <w:tc>
          <w:tcPr>
            <w:tcW w:w="6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r>
      <w:tr>
        <w:trPr>
          <w:trHeight w:val="210"/>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0.44</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0.76</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0.22</w:t>
            </w:r>
          </w:p>
        </w:tc>
      </w:tr>
    </w:tbl>
    <w:p>
      <w:pPr>
        <w:spacing w:after="0" w:line="136" w:lineRule="exact"/>
        <w:rPr>
          <w:sz w:val="20"/>
          <w:szCs w:val="20"/>
          <w:color w:val="auto"/>
        </w:rPr>
      </w:pPr>
    </w:p>
    <w:p>
      <w:pPr>
        <w:ind w:left="260" w:hanging="252"/>
        <w:spacing w:after="0" w:line="273" w:lineRule="auto"/>
        <w:tabs>
          <w:tab w:leader="none" w:pos="221"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August 2, 2021, 114,626,250 shares of common stock of the Company were distributed and began regular-way trading. This share amount is utilized for the calculation of basic and diluted earnings per share for the three and six months ended June 30, 2021.</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the six months ended June 30, 2022, approximately 1.8 million and 1.6 million shares, respectively, were excluded from the calculation of diluted earnings per share because their inclusion would have been anti-dilutive.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AOCI by component: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Defined Benefit</w:t>
            </w:r>
          </w:p>
        </w:tc>
        <w:tc>
          <w:tcPr>
            <w:tcW w:w="22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Less: AOCI</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AOCI attributable</w:t>
            </w:r>
          </w:p>
        </w:tc>
        <w:tc>
          <w:tcPr>
            <w:tcW w:w="0" w:type="dxa"/>
            <w:vAlign w:val="bottom"/>
          </w:tcPr>
          <w:p>
            <w:pPr>
              <w:spacing w:after="0"/>
              <w:rPr>
                <w:sz w:val="1"/>
                <w:szCs w:val="1"/>
                <w:color w:val="auto"/>
              </w:rPr>
            </w:pPr>
          </w:p>
        </w:tc>
      </w:tr>
      <w:tr>
        <w:trPr>
          <w:trHeight w:val="162"/>
        </w:trPr>
        <w:tc>
          <w:tcPr>
            <w:tcW w:w="36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Derivative Hedges</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5"/>
              </w:rPr>
              <w:t>attributable to</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Plan</w:t>
            </w:r>
          </w:p>
        </w:tc>
        <w:tc>
          <w:tcPr>
            <w:tcW w:w="8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noncontrolling interest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 GXO</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2022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779"/>
              <w:spacing w:after="0"/>
              <w:rPr>
                <w:sz w:val="20"/>
                <w:szCs w:val="20"/>
                <w:color w:val="auto"/>
              </w:rPr>
            </w:pPr>
            <w:r>
              <w:rPr>
                <w:rFonts w:ascii="Arial" w:cs="Arial" w:eastAsia="Arial" w:hAnsi="Arial"/>
                <w:sz w:val="16"/>
                <w:szCs w:val="16"/>
                <w:color w:val="auto"/>
                <w:w w:val="91"/>
              </w:rPr>
              <w:t>(76)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07"/>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Unrealized gain (loss), net of tax</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left="719"/>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reclassified from AOCI to net income</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3"/>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center"/>
              <w:ind w:left="779"/>
              <w:spacing w:after="0"/>
              <w:rPr>
                <w:sz w:val="20"/>
                <w:szCs w:val="20"/>
                <w:color w:val="auto"/>
              </w:rPr>
            </w:pPr>
            <w:r>
              <w:rPr>
                <w:rFonts w:ascii="Arial" w:cs="Arial" w:eastAsia="Arial" w:hAnsi="Arial"/>
                <w:sz w:val="16"/>
                <w:szCs w:val="16"/>
                <w:color w:val="auto"/>
                <w:w w:val="91"/>
              </w:rPr>
              <w:t>(76)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Defined Benefit</w:t>
            </w:r>
          </w:p>
        </w:tc>
        <w:tc>
          <w:tcPr>
            <w:tcW w:w="22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Less: AOCI</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AOCI attributable</w:t>
            </w:r>
          </w:p>
        </w:tc>
        <w:tc>
          <w:tcPr>
            <w:tcW w:w="0" w:type="dxa"/>
            <w:vAlign w:val="bottom"/>
          </w:tcPr>
          <w:p>
            <w:pPr>
              <w:spacing w:after="0"/>
              <w:rPr>
                <w:sz w:val="1"/>
                <w:szCs w:val="1"/>
                <w:color w:val="auto"/>
              </w:rPr>
            </w:pPr>
          </w:p>
        </w:tc>
      </w:tr>
      <w:tr>
        <w:trPr>
          <w:trHeight w:val="162"/>
        </w:trPr>
        <w:tc>
          <w:tcPr>
            <w:tcW w:w="36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Derivative Hedges</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5"/>
              </w:rPr>
              <w:t>attributable to</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Plan</w:t>
            </w:r>
          </w:p>
        </w:tc>
        <w:tc>
          <w:tcPr>
            <w:tcW w:w="8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noncontrolling interest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 GXO</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center"/>
              <w:ind w:left="779"/>
              <w:spacing w:after="0"/>
              <w:rPr>
                <w:sz w:val="20"/>
                <w:szCs w:val="20"/>
                <w:color w:val="auto"/>
              </w:rPr>
            </w:pPr>
            <w:r>
              <w:rPr>
                <w:rFonts w:ascii="Arial" w:cs="Arial" w:eastAsia="Arial" w:hAnsi="Arial"/>
                <w:sz w:val="16"/>
                <w:szCs w:val="16"/>
                <w:color w:val="auto"/>
                <w:w w:val="91"/>
              </w:rPr>
              <w:t>(76)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Unrealized gain (loss), net of tax</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jc w:val="center"/>
              <w:ind w:left="719"/>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reclassified from AOCI to net income</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7"/>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Deconsolidation of variable interest entity</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June 30, 2022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58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779"/>
              <w:spacing w:after="0"/>
              <w:rPr>
                <w:sz w:val="20"/>
                <w:szCs w:val="20"/>
                <w:color w:val="auto"/>
              </w:rPr>
            </w:pPr>
            <w:r>
              <w:rPr>
                <w:rFonts w:ascii="Arial" w:cs="Arial" w:eastAsia="Arial" w:hAnsi="Arial"/>
                <w:sz w:val="16"/>
                <w:szCs w:val="16"/>
                <w:color w:val="auto"/>
                <w:w w:val="91"/>
              </w:rPr>
              <w:t>(76)</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Defined Benefit</w:t>
            </w:r>
          </w:p>
        </w:tc>
        <w:tc>
          <w:tcPr>
            <w:tcW w:w="22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Less: AOCI</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AOCI attributable</w:t>
            </w:r>
          </w:p>
        </w:tc>
        <w:tc>
          <w:tcPr>
            <w:tcW w:w="0" w:type="dxa"/>
            <w:vAlign w:val="bottom"/>
          </w:tcPr>
          <w:p>
            <w:pPr>
              <w:spacing w:after="0"/>
              <w:rPr>
                <w:sz w:val="1"/>
                <w:szCs w:val="1"/>
                <w:color w:val="auto"/>
              </w:rPr>
            </w:pPr>
          </w:p>
        </w:tc>
      </w:tr>
      <w:tr>
        <w:trPr>
          <w:trHeight w:val="162"/>
        </w:trPr>
        <w:tc>
          <w:tcPr>
            <w:tcW w:w="3700" w:type="dxa"/>
            <w:vAlign w:val="bottom"/>
            <w:gridSpan w:val="2"/>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1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Derivative Hedges</w:t>
            </w: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5"/>
              </w:rPr>
              <w:t>attributable to</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14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b w:val="1"/>
                <w:bCs w:val="1"/>
                <w:color w:val="auto"/>
              </w:rPr>
              <w:t>Plan</w:t>
            </w:r>
          </w:p>
        </w:tc>
        <w:tc>
          <w:tcPr>
            <w:tcW w:w="17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noncontrolling interest</w:t>
            </w:r>
          </w:p>
        </w:tc>
        <w:tc>
          <w:tcPr>
            <w:tcW w:w="280" w:type="dxa"/>
            <w:vAlign w:val="bottom"/>
          </w:tcPr>
          <w:p>
            <w:pPr>
              <w:spacing w:after="0"/>
              <w:rPr>
                <w:sz w:val="18"/>
                <w:szCs w:val="18"/>
                <w:color w:val="auto"/>
              </w:rPr>
            </w:pPr>
          </w:p>
        </w:tc>
        <w:tc>
          <w:tcPr>
            <w:tcW w:w="1160" w:type="dxa"/>
            <w:vAlign w:val="bottom"/>
          </w:tcPr>
          <w:p>
            <w:pPr>
              <w:jc w:val="right"/>
              <w:ind w:right="359"/>
              <w:spacing w:after="0"/>
              <w:rPr>
                <w:sz w:val="20"/>
                <w:szCs w:val="20"/>
                <w:color w:val="auto"/>
              </w:rPr>
            </w:pPr>
            <w:r>
              <w:rPr>
                <w:rFonts w:ascii="Arial" w:cs="Arial" w:eastAsia="Arial" w:hAnsi="Arial"/>
                <w:sz w:val="16"/>
                <w:szCs w:val="16"/>
                <w:b w:val="1"/>
                <w:bCs w:val="1"/>
                <w:color w:val="auto"/>
              </w:rPr>
              <w:t>to GXO</w:t>
            </w:r>
          </w:p>
        </w:tc>
        <w:tc>
          <w:tcPr>
            <w:tcW w:w="0" w:type="dxa"/>
            <w:vAlign w:val="bottom"/>
          </w:tcPr>
          <w:p>
            <w:pPr>
              <w:spacing w:after="0"/>
              <w:rPr>
                <w:sz w:val="1"/>
                <w:szCs w:val="1"/>
                <w:color w:val="auto"/>
              </w:rPr>
            </w:pPr>
          </w:p>
        </w:tc>
      </w:tr>
      <w:tr>
        <w:trPr>
          <w:trHeight w:val="212"/>
        </w:trPr>
        <w:tc>
          <w:tcPr>
            <w:tcW w:w="3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March 31, 2021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1"/>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7"/>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Unrealized gain (loss), net of tax</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reclassified from AOCI to net income</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8"/>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1"/>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Defined Benefit</w:t>
            </w:r>
          </w:p>
        </w:tc>
        <w:tc>
          <w:tcPr>
            <w:tcW w:w="22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Less: AOCI</w:t>
            </w:r>
          </w:p>
        </w:tc>
        <w:tc>
          <w:tcPr>
            <w:tcW w:w="14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8"/>
              </w:rPr>
              <w:t>AOCI attributable</w:t>
            </w:r>
          </w:p>
        </w:tc>
        <w:tc>
          <w:tcPr>
            <w:tcW w:w="0" w:type="dxa"/>
            <w:vAlign w:val="bottom"/>
          </w:tcPr>
          <w:p>
            <w:pPr>
              <w:spacing w:after="0"/>
              <w:rPr>
                <w:sz w:val="1"/>
                <w:szCs w:val="1"/>
                <w:color w:val="auto"/>
              </w:rPr>
            </w:pPr>
          </w:p>
        </w:tc>
      </w:tr>
      <w:tr>
        <w:trPr>
          <w:trHeight w:val="162"/>
        </w:trPr>
        <w:tc>
          <w:tcPr>
            <w:tcW w:w="36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0"/>
              </w:rPr>
              <w:t>Translation</w:t>
            </w: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Derivative Hedges</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5"/>
              </w:rPr>
              <w:t>attributable to</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Adjustments</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Plan</w:t>
            </w:r>
          </w:p>
        </w:tc>
        <w:tc>
          <w:tcPr>
            <w:tcW w:w="8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noncontrolling interest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7"/>
              </w:rPr>
              <w:t>to GXO</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center"/>
              <w:ind w:left="879"/>
              <w:spacing w:after="0"/>
              <w:rPr>
                <w:sz w:val="20"/>
                <w:szCs w:val="20"/>
                <w:color w:val="auto"/>
              </w:rPr>
            </w:pPr>
            <w:r>
              <w:rPr>
                <w:rFonts w:ascii="Arial" w:cs="Arial" w:eastAsia="Arial" w:hAnsi="Arial"/>
                <w:sz w:val="16"/>
                <w:szCs w:val="16"/>
                <w:color w:val="auto"/>
                <w:w w:val="89"/>
              </w:rPr>
              <w:t>61</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w w:val="89"/>
              </w:rPr>
              <w:t>58</w:t>
            </w:r>
          </w:p>
        </w:tc>
        <w:tc>
          <w:tcPr>
            <w:tcW w:w="0" w:type="dxa"/>
            <w:vAlign w:val="bottom"/>
          </w:tcPr>
          <w:p>
            <w:pPr>
              <w:spacing w:after="0"/>
              <w:rPr>
                <w:sz w:val="1"/>
                <w:szCs w:val="1"/>
                <w:color w:val="auto"/>
              </w:rPr>
            </w:pPr>
          </w:p>
        </w:tc>
      </w:tr>
      <w:tr>
        <w:trPr>
          <w:trHeight w:val="207"/>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Unrealized gain (loss), net of tax</w:t>
            </w:r>
          </w:p>
        </w:tc>
        <w:tc>
          <w:tcPr>
            <w:tcW w:w="180" w:type="dxa"/>
            <w:vAlign w:val="bottom"/>
          </w:tcPr>
          <w:p>
            <w:pPr>
              <w:spacing w:after="0"/>
              <w:rPr>
                <w:sz w:val="17"/>
                <w:szCs w:val="17"/>
                <w:color w:val="auto"/>
              </w:rPr>
            </w:pPr>
          </w:p>
        </w:tc>
        <w:tc>
          <w:tcPr>
            <w:tcW w:w="1240" w:type="dxa"/>
            <w:vAlign w:val="bottom"/>
          </w:tcPr>
          <w:p>
            <w:pPr>
              <w:jc w:val="center"/>
              <w:ind w:left="839"/>
              <w:spacing w:after="0"/>
              <w:rPr>
                <w:sz w:val="20"/>
                <w:szCs w:val="20"/>
                <w:color w:val="auto"/>
              </w:rPr>
            </w:pPr>
            <w:r>
              <w:rPr>
                <w:rFonts w:ascii="Arial" w:cs="Arial" w:eastAsia="Arial" w:hAnsi="Arial"/>
                <w:sz w:val="16"/>
                <w:szCs w:val="16"/>
                <w:color w:val="auto"/>
                <w:w w:val="98"/>
              </w:rPr>
              <w:t>(19)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6"/>
                <w:szCs w:val="16"/>
                <w:color w:val="auto"/>
                <w:w w:val="91"/>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center"/>
              <w:ind w:left="759"/>
              <w:spacing w:after="0"/>
              <w:rPr>
                <w:sz w:val="20"/>
                <w:szCs w:val="20"/>
                <w:color w:val="auto"/>
              </w:rPr>
            </w:pPr>
            <w:r>
              <w:rPr>
                <w:rFonts w:ascii="Arial" w:cs="Arial" w:eastAsia="Arial" w:hAnsi="Arial"/>
                <w:sz w:val="16"/>
                <w:szCs w:val="16"/>
                <w:color w:val="auto"/>
                <w:w w:val="98"/>
              </w:rPr>
              <w:t>(19)</w:t>
            </w: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reclassified from AOCI to net income</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879"/>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80" w:type="dxa"/>
            <w:vAlign w:val="bottom"/>
          </w:tcPr>
          <w:p>
            <w:pPr>
              <w:spacing w:after="0"/>
              <w:rPr>
                <w:sz w:val="17"/>
                <w:szCs w:val="17"/>
                <w:color w:val="auto"/>
              </w:rPr>
            </w:pPr>
          </w:p>
        </w:tc>
        <w:tc>
          <w:tcPr>
            <w:tcW w:w="1240" w:type="dxa"/>
            <w:vAlign w:val="bottom"/>
          </w:tcPr>
          <w:p>
            <w:pPr>
              <w:jc w:val="center"/>
              <w:ind w:left="839"/>
              <w:spacing w:after="0"/>
              <w:rPr>
                <w:sz w:val="20"/>
                <w:szCs w:val="20"/>
                <w:color w:val="auto"/>
              </w:rPr>
            </w:pPr>
            <w:r>
              <w:rPr>
                <w:rFonts w:ascii="Arial" w:cs="Arial" w:eastAsia="Arial" w:hAnsi="Arial"/>
                <w:sz w:val="16"/>
                <w:szCs w:val="16"/>
                <w:color w:val="auto"/>
                <w:w w:val="98"/>
              </w:rPr>
              <w:t>(19)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ind w:left="520"/>
              <w:spacing w:after="0"/>
              <w:rPr>
                <w:sz w:val="20"/>
                <w:szCs w:val="20"/>
                <w:color w:val="auto"/>
              </w:rPr>
            </w:pPr>
            <w:r>
              <w:rPr>
                <w:rFonts w:ascii="Arial" w:cs="Arial" w:eastAsia="Arial" w:hAnsi="Arial"/>
                <w:sz w:val="16"/>
                <w:szCs w:val="16"/>
                <w:color w:val="auto"/>
                <w:w w:val="91"/>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center"/>
              <w:ind w:left="759"/>
              <w:spacing w:after="0"/>
              <w:rPr>
                <w:sz w:val="20"/>
                <w:szCs w:val="20"/>
                <w:color w:val="auto"/>
              </w:rPr>
            </w:pPr>
            <w:r>
              <w:rPr>
                <w:rFonts w:ascii="Arial" w:cs="Arial" w:eastAsia="Arial" w:hAnsi="Arial"/>
                <w:sz w:val="16"/>
                <w:szCs w:val="16"/>
                <w:color w:val="auto"/>
                <w:w w:val="98"/>
              </w:rPr>
              <w:t>(19)</w:t>
            </w:r>
          </w:p>
        </w:tc>
        <w:tc>
          <w:tcPr>
            <w:tcW w:w="0" w:type="dxa"/>
            <w:vAlign w:val="bottom"/>
          </w:tcPr>
          <w:p>
            <w:pPr>
              <w:spacing w:after="0"/>
              <w:rPr>
                <w:sz w:val="1"/>
                <w:szCs w:val="1"/>
                <w:color w:val="auto"/>
              </w:rPr>
            </w:pPr>
          </w:p>
        </w:tc>
      </w:tr>
      <w:tr>
        <w:trPr>
          <w:trHeight w:val="238"/>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 of June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center"/>
              <w:ind w:left="879"/>
              <w:spacing w:after="0"/>
              <w:rPr>
                <w:sz w:val="20"/>
                <w:szCs w:val="20"/>
                <w:color w:val="auto"/>
              </w:rPr>
            </w:pPr>
            <w:r>
              <w:rPr>
                <w:rFonts w:ascii="Arial" w:cs="Arial" w:eastAsia="Arial" w:hAnsi="Arial"/>
                <w:sz w:val="16"/>
                <w:szCs w:val="16"/>
                <w:color w:val="auto"/>
                <w:w w:val="89"/>
              </w:rPr>
              <w:t>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1"/>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w w:val="89"/>
              </w:rPr>
              <w:t>39</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5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is involved, and will continue to be involved, in numerous legal proceedings arising out of the conduct of its business. These proceedings may include personal injury claims arising from the handling and transportation of goods, contractual disputes and employment-related claims, including alleged violations of wage and hour laws.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establishes accruals for specific legal proceedings when it is considered probable that a loss has been incurred and the amount of the loss can be reasonably estimated. The Company reviews and adjusts accruals for loss contingencies quarterly and as additional information becomes available. If a loss is not both probable and reasonably estimable, or if an exposure to loss exists in excess of the amount accrued, the Company assesses whether there is at least a reasonable possibility that a loss, or additional loss, may have been incurred. If there is a reasonable possibility that a loss, or additional loss, may have been incurred, the Company discloses the estimate of the possible loss or range of loss if it is material and an estimate can be made, or discloses that such an estimate cannot be made. The determination as to whether a loss can reasonably be considered to be possible or probable is based on management’s assessment, together with legal counsel, regarding the ultimate outcome of the matter.</w:t>
      </w:r>
    </w:p>
    <w:p>
      <w:pPr>
        <w:spacing w:after="0" w:line="19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Management of the Company believes that it has adequately accrued for the potential impact of loss contingencies that are probable and reasonably estimable. Management of the Company does not believe that the ultimate resolution of any matters to which the Company is presently a party will have a material adverse effect on its results of operations, financial condition or cash flows. However, the results of these matters cannot be predicted with certainty, and an unfavorable resolution of one or more of these matters could have a material adverse effect on the Company’s financial condition, results of operations or cash flows. Legal costs incurred related to these matters are expensed as incurred.</w:t>
      </w:r>
    </w:p>
    <w:p>
      <w:pPr>
        <w:spacing w:after="0" w:line="2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carries liability and excess umbrella insurance policies that are deemed sufficient to cover potential legal claims arising in the normal course of conducting its operations. In the event the Company is required to satisfy a legal claim outside the scope of the coverage provided by insurance, its financial condition, results of operations or cash flows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This Quarterly Report on Form 10-Q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Quarterly Report are qualified by these cautionary statements, and there can be no assurance that the results or developments anticipated by the Company will be realized or, even if substantially realized, that they will have the expected consequence to or effects on the Company or its business or operations.</w:t>
      </w:r>
    </w:p>
    <w:p>
      <w:pPr>
        <w:spacing w:after="0" w:line="20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should be read in conjunction with the audited consolidated financial statements and notes thereto included in the Company’s Annual Report on Form 10-K for the fiscal year ended December 31, 2021, as filed with the SEC on February 17, 2022 (the “2021 Form 10-K”), and the unaudited condensed consolidated financial statements and related notes thereto included elsewhere in this Form 10-Q.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GXO Logistics, Inc., together with its subsidiaries (“GXO,” the “Company” or “we”), is the largest pure-play contract logistics provider in the world and a foremost innovator in an industry propelled by strong secular tailwinds. Our customers rely on us to move their goods with high efficiency through their supply chains — from the moment inbound goods arrive at our logistics sites, through fulfillment and distribution and the management of returned products. Our customer base includes many blue-chip leaders in sectors that demonstrate high growth and/or durable demand, with significant growth potential through customer outsourcing of logistics services.</w:t>
      </w:r>
    </w:p>
    <w:p>
      <w:pPr>
        <w:spacing w:after="0" w:line="21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business model is asset-light and historically resilient in cycles, with high returns, strong free cash flow and visibility into revenue and earnings. The vast majority of our contracts with customers are multi-year agreements, and our facility lease arrangements generally align with contract length. Most of our customer contracts contain both fixed and variable components. The fixed component is typically designed to cover facility, technology and equipment costs and may cover management costs, while the variable component is determined based on expected volumes and associated labor costs.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technology to manage advanced automation, labor productivity, safety and the complex flow of goods within sophisticated logistics environments. We strive to provide all of our customers with consistently high levels of service and cutting-edge automation managed by our proprietary technology. We also collaborate with our largest customers on planning and forecasting and provide assistance with network optimization, working with these customers to design or redesign their supply chains to meet specific goals, such as sustainability metrics. Our multidisciplinary, consultative approach has led to many of our key customer relationships extending for years and expanding in scope.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The Separation</w:t>
      </w:r>
    </w:p>
    <w:p>
      <w:pPr>
        <w:spacing w:after="0" w:line="24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On August 2, 2021, we completed the separation from XPO Logistics, Inc. (“XPO”) (the “Separation”). Prior to the Separation, the Company’s financial statements were prepared on a standalone combined basis and were derived from the consolidated financial statements and accounting records of XPO. On August 2, 2021, the Company became a standalone publicly-traded company, and its financial statements post-Separation are prepared on a consolidated basis. The combined consolidated financial statements for all periods presented prior to the Separation are now also referred to as “condensed consolidated financial statements” and have been prepared in accordance with generally accepted accounting principles in the United States of America (“GAAP”).</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Prior to the Separation, the Company’s historical assets and liabilities presented were wholly owned by XPO and were reflected on a historical cost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Separation, the Company’s assets and liabilities were transferred to the Company on a carryover basis.</w:t>
      </w:r>
    </w:p>
    <w:p>
      <w:pPr>
        <w:spacing w:after="0" w:line="23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Prior to the Separation, the historical results of operations included allocations of XPO costs and expenses, including XPO’s corporate function, which incurred a variety of expenses including, but not limited to, information technology, human resources, accounting, sales and sales operations, procurement, executive services, legal, corporate finance and communications. An allocation of these expenses is included to burden all business units comprising XPO’s historical results of operations, including GXO. The charges reflected have been either specifically identified or allocated using drivers including proportional adjusted earnings before interest, taxes, depreciation and amortization, which include adjustments for transaction and integration costs, as well as restructuring costs and other adjustments, or headcount. The majority of these allocated costs is recorded within Selling, general and administrative expense; Depreciation and amortization expense; and Transaction and integration costs in the Condensed Consolidated Statements of Operations.</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consolidated financial statements include the accounts of GXO and its majority-owned subsidiaries and variable interest entities of which the Company is the primary beneficiary. The Company has eliminated intercompany accounts and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have a single reportable segment.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Clipper Acquisition</w:t>
      </w:r>
    </w:p>
    <w:p>
      <w:pPr>
        <w:spacing w:after="0" w:line="25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May 24, 2022, the Company completed the acquisition of Clipper Logistics plc (“Clipper”), an omnichannel retail logistics specialist based in Leeds, England (the “Clipper Acquisition”). The Company acquired Clipper for $1,103 million, consisting of $900 million in cash and the issuance of 3,749,266 shares of GXO common stock having a value of $203 million. The Competition and Markets Authority (the “CMA”) in the U.K. is currently reviewing the Clipper Acquisition. The Company estimates that the CMA’s review of the acquisition will be completed during the second half of 2022.</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Clipper Acquisition, (i) the Company and Clipper entered into a Cooperation Agreement; (ii) the Company entered into a Term Loan; (iii) the Company entered into a Five-Year Term Loan; and (iv) the Company terminated its Bridge Term Loan agreement. For additional information regarding the financing agreements entered in connection with the Clipper Acquisition, see Note 6—Debt and Financing Arrangements.</w:t>
      </w:r>
    </w:p>
    <w:p>
      <w:pPr>
        <w:spacing w:after="0" w:line="192"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results of operations of Clipper are included in our consolidated financial statements from the date of acquisition. The Company recorded $80 million and $1 million of revenue and income before income taxes for both the three and six months ended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1340" w:type="dxa"/>
            <w:vAlign w:val="bottom"/>
            <w:tcBorders>
              <w:bottom w:val="single" w:sz="8" w:color="auto"/>
            </w:tcBorders>
          </w:tcPr>
          <w:p>
            <w:pPr>
              <w:spacing w:after="0"/>
              <w:rPr>
                <w:sz w:val="18"/>
                <w:szCs w:val="18"/>
                <w:color w:val="auto"/>
              </w:rPr>
            </w:pPr>
          </w:p>
        </w:tc>
      </w:tr>
      <w:tr>
        <w:trPr>
          <w:trHeight w:val="213"/>
        </w:trPr>
        <w:tc>
          <w:tcPr>
            <w:tcW w:w="6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Direct operating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Transaction and integration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6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Restructuring costs (credits) and 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07"/>
        </w:trPr>
        <w:tc>
          <w:tcPr>
            <w:tcW w:w="602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7"/>
        </w:trPr>
        <w:tc>
          <w:tcPr>
            <w:tcW w:w="60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3"/>
        </w:trPr>
        <w:tc>
          <w:tcPr>
            <w:tcW w:w="5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compared with the Three Months Ended June 30, 2021</w:t>
      </w:r>
    </w:p>
    <w:p>
      <w:pPr>
        <w:spacing w:after="0" w:line="2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Revenue for the three months ended June 30, 2022, increased by 15%, or $274 million, to $2.2 billion, compared with $1.9 billion for the same period in 2021. For the three months ended June 30, 2022, our North America, Asia and Pacific operations reported growth of 22%, and our European operations reported growth of 11%. The Clipper Acquisition contributed 6% to revenue in our European operations and 4% to total revenue for the three months ended June 30, 2022. Foreign currency movements decreased revenue by approximately 9% for the three months ended June 30, 2022.</w:t>
      </w:r>
    </w:p>
    <w:p>
      <w:pPr>
        <w:spacing w:after="0" w:line="18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Direct operating expenses comprise both fixed and variable expenses and consist of operating costs related to our logistics facilities, including personnel costs and facility and equipment expenses, such as rent, utilities, equipment maintenance and repair, transportation costs, costs of materials and supplies and information technology expenses. Direct operating expense for the three months ended June 30, 2022 was $1.8 billion, or 82% of revenue, compared with $1.6 billion, or 83% of revenue, for the same period in 2021. For the three months ended June 30, 2022, direct operating expenses increased by $147 million due to higher personnel and temporary labor expenses, as well as higher third-party facilities and transportation costs of $33 million.</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general and administrative expense (“SG&amp;A”) primarily consists of salary and benefits for executive and administrative functions, professional fees and legal costs. SG&amp;A for the three months ended June 30, 2022, increased by $43 million, to $220 million, compared with $177 million for the same period in 2021. SG&amp;A for the three months ended June 30, 2022 increased compared with the same prior year period due to higher personnel costs, primarily for certain administrative functions, reflecting the growth in our business.</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Depreciation and amortization expense for the three months ended June 30, 2022, was $77 million, compared with $95 million for the same period in 2021. The decrease was primarily due to allocated corporate charges from XPO before the Separation of $9 million and the impact of foreign currency movements. Depreciation and amortization expense included amortization of intangible assets of $13 million and $14 million for the three months ended June 30, 2022 and 2021, respectively.</w:t>
      </w:r>
    </w:p>
    <w:p>
      <w:pPr>
        <w:spacing w:after="0" w:line="21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Transaction and integration costs for the three months ended June 30, 2022 were $24 million and primarily related to the Clipper Acquisition. Transaction and integration costs for the three months ended June 30, 2021 were $35 million and primarily related to the Separation.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(credits) and other for the three months ended June 30, 2022 and 2021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spacing w:after="0" w:line="308" w:lineRule="auto"/>
        <w:rPr>
          <w:sz w:val="20"/>
          <w:szCs w:val="20"/>
          <w:color w:val="auto"/>
        </w:rPr>
      </w:pPr>
      <w:r>
        <w:rPr>
          <w:rFonts w:ascii="Arial" w:cs="Arial" w:eastAsia="Arial" w:hAnsi="Arial"/>
          <w:sz w:val="17"/>
          <w:szCs w:val="17"/>
          <w:color w:val="auto"/>
        </w:rPr>
        <w:t>Other income for the three months ended June 30, 2022 was $23 million. For the three months ended June 30, 2022, pension income was $9 million and the gain on foreign currency contracts was $16 million. Other expense for the three months ended June 30, 2021 was not material.</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net for the three months ended June 30, 2022 was $9 million compared with $6 million for the same period in 2021. For the three months ended June 30, 2022, interest expense primarily related to debt issued in the second half of 2021, debt issued in 2022, and capital lease obligations, partially offset by interest income on the cross-currency swap agreements. For the three months ended June 30, 2021, interest expense primarily related to related-party debt obligations with XPO before the Separation and capital lease obligations.</w:t>
      </w:r>
    </w:p>
    <w:p>
      <w:pPr>
        <w:spacing w:after="0" w:line="21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Income before income taxes for the three months ended June 30, 2022 increased by $58 million, to $73 million, compared with $15 million for the same period in 2021. The increase was primarily due to higher revenue and increased other income as a result of pension income and foreign currency contracts.</w:t>
      </w:r>
    </w:p>
    <w:p>
      <w:pPr>
        <w:spacing w:after="0" w:line="137"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Income tax expense for the three months ended June 30, 2022 was $21 million compared with $1 million for the same period in 2021. Our effective tax rate was 29.4% for the three months ended June 30, 2022 compared with 10.2% for the same period in 2021. The change in our effective tax rate was primarily driven by an increase in pre-tax losses in certain jurisdictions for which no benefit was recognized, non-deductible transaction cost, offset by deferred true-ups.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Six Months Ended June 30,</w:t>
            </w:r>
          </w:p>
        </w:tc>
        <w:tc>
          <w:tcPr>
            <w:tcW w:w="1340" w:type="dxa"/>
            <w:vAlign w:val="bottom"/>
            <w:tcBorders>
              <w:bottom w:val="single" w:sz="8" w:color="auto"/>
            </w:tcBorders>
          </w:tcPr>
          <w:p>
            <w:pPr>
              <w:spacing w:after="0"/>
              <w:rPr>
                <w:sz w:val="18"/>
                <w:szCs w:val="18"/>
                <w:color w:val="auto"/>
              </w:rPr>
            </w:pPr>
          </w:p>
        </w:tc>
      </w:tr>
      <w:tr>
        <w:trPr>
          <w:trHeight w:val="213"/>
        </w:trPr>
        <w:tc>
          <w:tcPr>
            <w:tcW w:w="60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5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Direct operating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Transaction and integration costs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3"/>
        </w:trPr>
        <w:tc>
          <w:tcPr>
            <w:tcW w:w="6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Restructuring costs and 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13"/>
        </w:trPr>
        <w:tc>
          <w:tcPr>
            <w:tcW w:w="6020" w:type="dxa"/>
            <w:vAlign w:val="bottom"/>
            <w:gridSpan w:val="2"/>
          </w:tcPr>
          <w:p>
            <w:pPr>
              <w:ind w:left="14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06"/>
        </w:trPr>
        <w:tc>
          <w:tcPr>
            <w:tcW w:w="602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60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6"/>
        </w:trPr>
        <w:tc>
          <w:tcPr>
            <w:tcW w:w="60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4"/>
        </w:trPr>
        <w:tc>
          <w:tcPr>
            <w:tcW w:w="5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with the Six Months Ended June 30, 2021</w:t>
      </w:r>
    </w:p>
    <w:p>
      <w:pPr>
        <w:spacing w:after="0" w:line="25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Revenue for the six months ended June 30, 2022, increased by 14%, or $535 million, to $4.2 billion, compared with $3.7 billion for the same period in 2021. For the six months ended June 30, 2022, our North America, Asia and Pacific operations reported growth of 18%, and our European operations reported growth of 12%. The Clipper Acquisition contributed 3% to revenue in our European operations and 2% to total revenue for the six months ended June 30, 2022. Foreign currency movements decreased revenue by approximately 7% for the six months ended June 30, 2022.</w:t>
      </w:r>
    </w:p>
    <w:p>
      <w:pPr>
        <w:spacing w:after="0" w:line="19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Direct operating expenses comprise both fixed and variable expenses and consist of operating costs related to our logistics facilities, including personnel costs and facility and equipment expenses, such as rent, utilities, equipment maintenance and repair, transportation costs, costs of materials and supplies and information technology expenses. Direct operating expense for the six months ended June 30, 2022, was $3.5 billion, or 83% of revenue, compared with $3.1 billion, or 83% of revenue for the same period in 2021. For the six months ended June 30, 2022, direct operating expenses increased by $327 million due to higher personnel and temporary labor expenses, as well as higher third-party facilities and transportation costs of $67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5" w:name="page26"/>
    <w:bookmarkEnd w:id="25"/>
    <w:p>
      <w:pPr>
        <w:ind w:right="240"/>
        <w:spacing w:after="0" w:line="259" w:lineRule="auto"/>
        <w:rPr>
          <w:sz w:val="20"/>
          <w:szCs w:val="20"/>
          <w:color w:val="auto"/>
        </w:rPr>
      </w:pPr>
      <w:r>
        <w:rPr>
          <w:rFonts w:ascii="Arial" w:cs="Arial" w:eastAsia="Arial" w:hAnsi="Arial"/>
          <w:sz w:val="18"/>
          <w:szCs w:val="18"/>
          <w:color w:val="auto"/>
        </w:rPr>
        <w:t>SG&amp;A primarily consists of salary and benefits for executive and administrative functions, professional fees and legal costs. SG&amp;A for the six months ended June 30, 2022, increased by $62 million, to $410 million, compared with $348 million for the same period in 2021. SG&amp;A for the six months increased compared with the same prior year period due to higher personnel costs, primarily for certain administrative functions, reflecting the growth in our business.</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Depreciation and amortization expense for the six months ended June 30, 2022 was $153 million, compared with $174 million for the same period in 2021. The decrease was a result of allocated corporate charges from XPO before the Separation of $14 million and the impact of foreign currency movements. Depreciation and amortization expense included amortization of intangible assets of $27 million and $28 million for the six months ended June 30, 2022 and 2021, respectively.</w:t>
      </w:r>
    </w:p>
    <w:p>
      <w:pPr>
        <w:spacing w:after="0" w:line="21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Transaction and integration costs for the six months ended June 30, 2022 were $43 million and primarily related to the Clipper Acquisition. Transaction and integration costs for the six months ended June 30, 2021 were $53 million and primarily related to the Separation.</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Restructuring costs and other for the six months ended June 30, 2022, were $14 million. For the six months ended June 30, 2022, restructuring costs and other included $6 million related to severance costs and $8 million related to the deconsolidation of a joint venture. Restructuring costs and other for the six months ended June 30, 2021 were $3 million and primarily related to severance costs.</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income for the six months ended June 30, 2022 was $39 million. For the six months ended June 30, 2022, pension income was $18 million and the gain on foreign currency contracts was $24 million. Other income for the six months ended June 30, 2021 was not material.</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net for the six months ended June 30, 2022 was $13 million compared with $11 million for the same period in 2021. For the six months ended June 30, 2022, interest expense primarily related to debt issued in the second half of 2021, debt issued in 2022, and capital lease obligations, partially offset by interest income on the cross-currency swap agreements. For the six months ended June 30, 2021, interest expense primarily related to related-party debt obligations with XPO before the Separation and capital lease obligations.</w:t>
      </w:r>
    </w:p>
    <w:p>
      <w:pPr>
        <w:spacing w:after="0" w:line="21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Income before income taxes for the six months ended June 30, 2022 increased by $81 million, to $122 million, compared with $41 million for the same period in 2021. The increase was primarily due to higher revenue and increased other income as a result of pension income and foreign currency contracts, partially offset by the deconsolidation of a joint venture.</w:t>
      </w:r>
    </w:p>
    <w:p>
      <w:pPr>
        <w:spacing w:after="0" w:line="19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Income tax expense for the six months ended June 30, 2022, was $32 million compared with $10 million for the same period in 2021. Our effective tax rate was 26.4% for the six months ended June 30, 2022 compared with 24.9% for the same period in 2021. The change in our effective tax rate was primarily driven by $5 million non-deductible transaction cost, offset by $4 million of deferred true-ups.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ability to fund our operations and anticipated capital needs is reliant upon the generation of cash from operations, supplemented as necessary by periodic utilization of our revolving credit facility. Our principal uses of cash in the future will be to fund our operations, working capital needs, capital expenditures, repayment of borrowings and strategic business development transactions. The timing and magnitude of our start-ups can vary and may positively or negatively impact our cash flows.</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continually evaluate our liquidity requirements and capital structure in light of our operating needs, growth initiatives and capital resources. We believe that our existing liquidity and sources of capital are sufficient to support our operations over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Five-Year Term Loan</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May 25, 2022, we entered into a five-year unsecured Term Loan (the “Five-Year Term Loan due 2027”) that provided a $500 million unsecured term loan facility to fund the Clipper Acquisition. On May 26, 2022, we borrowed $500 million that will mature on May 26, 2027. The loan bears interest at a fluctuating rate per annum equal to, at our option, the alternate base rate or the adjusted Secured Overnight Financing Rate (SOFR), plus an applicable margin based on the Company’s credit ratings.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Delayed Draw Term Loan</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22, 2022, we entered into an unsecured delayed draw Term Loan (the “Delayed Draw Term Loan”) that provided a £375 million ($457 million as of June 30, 2022) unsecured term loan facility to fund the Clipper Acquisition. The loans were available to us in U.S. dollars or British pounds sterling. On May 26, 2022, we borrowed in U.S. dollars a $165 million 2-year term loan tranche (the “Two-Year Term Loan due 2024”) and a $235 million 3-year term loan tranche (the “Three-Year Term Loan due 2025”) that will mature on May 26, 2024, and May 26, 2025, respectively. Loans bear interest at a fluctuating rate per annum equal to, at our option, the alternate base rate or the adjusted SOFR, plus an applicable margin based on the Company’s credit ratings.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Term Loan</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 February 28, 2022, we entered into an unsecured Bridge Term Loan (the “Bridge Term Loan”) that provided a £745 million ($907 million as of June 30, 2022) unsecured term loan facility to fund the Clipper Acquisition. The commitments under the Bridge Term Loan were terminated with the effectiveness of the Five-Year Term Loan and the Delayed Draw Term Loan. No amounts were drawn under the Bridge Term Loan credit agreement.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Notes</w:t>
      </w:r>
    </w:p>
    <w:p>
      <w:pPr>
        <w:spacing w:after="0" w:line="25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2021, we completed an offering of $800 million aggregate principal amount of notes, consisting of $400 million of notes due 2026 (the “2026 Notes”) and $400 million of notes due 2031 (the “2031 Notes”). The 2026 Notes bear interest at a rate of 1.65% per annum payable semiannually in cash in arrears on January 15 and July 15 of each year, beginning January 15, 2022, and maturing on July 15, 2026. The 2031 Notes bear interest at a rate of 2.65% per annum payable semiannually in cash in arrears on January 15 and July 15 of each year, beginning January 15, 2022, and maturing on July 15, 2031.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2021, we entered into a five-year unsecured multi-currency Revolving Credit Facility (the “Revolving Credit Facility”). The Revolving Credit Facility provides commitments of up to $800 million, of which $60 million is available for the issuance of letters of credit. No amounts were outstanding under the Revolving Credit Facility as of June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Certain Receivables</w:t>
      </w:r>
    </w:p>
    <w:p>
      <w:pPr>
        <w:spacing w:after="0" w:line="2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sell certain of our trade accounts receivables on a non-recourse basis to third-party financial institutions under various factoring agreements. We also sold certain European trade accounts receivables under a securitization program. In the first quarter of 2022, we terminated our securitization program. We account for these transactions as sales of receivables and present cash proceeds as cash provided by operating activities in the Condensed Consolidated Statements of Cash Flows. We use the sale of certain receivables to help manage our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24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6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r>
      <w:tr>
        <w:trPr>
          <w:trHeight w:val="212"/>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Factoring agreements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Receivables sold in period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consideration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6140" w:type="dxa"/>
            <w:vAlign w:val="bottom"/>
            <w:gridSpan w:val="2"/>
          </w:tcPr>
          <w:p>
            <w:pPr>
              <w:ind w:left="20"/>
              <w:spacing w:after="0"/>
              <w:rPr>
                <w:sz w:val="20"/>
                <w:szCs w:val="20"/>
                <w:color w:val="auto"/>
              </w:rPr>
            </w:pPr>
            <w:r>
              <w:rPr>
                <w:rFonts w:ascii="Arial" w:cs="Arial" w:eastAsia="Arial" w:hAnsi="Arial"/>
                <w:sz w:val="16"/>
                <w:szCs w:val="16"/>
                <w:b w:val="1"/>
                <w:bCs w:val="1"/>
                <w:color w:val="auto"/>
              </w:rPr>
              <w:t>Securitization program</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Receivables sold in period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w:t>
            </w:r>
          </w:p>
        </w:tc>
      </w:tr>
      <w:tr>
        <w:trPr>
          <w:trHeight w:val="210"/>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Cash consideration</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902</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we were in compliance with the covenants contained in our debt and financing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 and liability balances as of June 30, 2022 and December 31,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5"/>
          </w:tcPr>
          <w:p>
            <w:pPr>
              <w:spacing w:after="0"/>
              <w:rPr>
                <w:sz w:val="20"/>
                <w:szCs w:val="20"/>
                <w:color w:val="auto"/>
              </w:rPr>
            </w:pPr>
            <w:r>
              <w:rPr>
                <w:rFonts w:ascii="Arial" w:cs="Arial" w:eastAsia="Arial" w:hAnsi="Arial"/>
                <w:sz w:val="16"/>
                <w:szCs w:val="16"/>
                <w:b w:val="1"/>
                <w:bCs w:val="1"/>
                <w:color w:val="auto"/>
                <w:w w:val="98"/>
              </w:rPr>
              <w:t>June 30, 2022   December 31, 2021</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3"/>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2,256</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13"/>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Total long-term assets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6,450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1,278</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9"/>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0"/>
        </w:trPr>
        <w:tc>
          <w:tcPr>
            <w:tcW w:w="6060" w:type="dxa"/>
            <w:vAlign w:val="bottom"/>
            <w:gridSpan w:val="2"/>
          </w:tcPr>
          <w:p>
            <w:pPr>
              <w:ind w:left="20"/>
              <w:spacing w:after="0"/>
              <w:rPr>
                <w:sz w:val="20"/>
                <w:szCs w:val="20"/>
                <w:color w:val="auto"/>
              </w:rPr>
            </w:pPr>
            <w:r>
              <w:rPr>
                <w:rFonts w:ascii="Arial" w:cs="Arial" w:eastAsia="Arial" w:hAnsi="Arial"/>
                <w:sz w:val="16"/>
                <w:szCs w:val="16"/>
                <w:color w:val="auto"/>
              </w:rPr>
              <w:t>Total long-term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3,781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48 %</w:t>
            </w:r>
          </w:p>
        </w:tc>
      </w:tr>
    </w:tbl>
    <w:p>
      <w:pPr>
        <w:spacing w:after="0" w:line="3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increase in our assets and liabilities from December 31, 2021 to June 30, 2022 primarily reflects the assets acquired and liabilities assumed, as well as various debt instruments entered into in connection with the Clipper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Activity</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on our Condensed Consolidated Statements of Cash Flows, are summarized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Six Months Ended June 30,</w:t>
            </w:r>
          </w:p>
        </w:tc>
        <w:tc>
          <w:tcPr>
            <w:tcW w:w="1340" w:type="dxa"/>
            <w:vAlign w:val="bottom"/>
            <w:tcBorders>
              <w:bottom w:val="single" w:sz="8" w:color="auto"/>
            </w:tcBorders>
          </w:tcPr>
          <w:p>
            <w:pPr>
              <w:spacing w:after="0"/>
              <w:rPr>
                <w:sz w:val="18"/>
                <w:szCs w:val="18"/>
                <w:color w:val="auto"/>
              </w:rPr>
            </w:pPr>
          </w:p>
        </w:tc>
      </w:tr>
      <w:tr>
        <w:trPr>
          <w:trHeight w:val="21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9"/>
              </w:rPr>
              <w:t>$ Change</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13"/>
        </w:trPr>
        <w:tc>
          <w:tcPr>
            <w:tcW w:w="6020" w:type="dxa"/>
            <w:vAlign w:val="bottom"/>
            <w:gridSpan w:val="2"/>
          </w:tcPr>
          <w:p>
            <w:pPr>
              <w:ind w:left="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60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35"/>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flows from operating activities for the six months ended June 30, 2022 increased by $54 million compared with the same period in 2021. The increase was primarily due to a $59 million increase in net income, partially offset by an $11 million decrease in non-cash items.</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Investing Activities</w:t>
      </w:r>
    </w:p>
    <w:p>
      <w:pPr>
        <w:spacing w:after="0" w:line="25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Investing activities used $1,003 million of cash for the six months ended June 30, 2022, compared with $71 million used for the same period of 2021. During the six months ended June 30, 2022, we used $874 million, net of cash received, to fund the Clipper Acquisition, used $154 million to purchase property and equipment, received $10 million in proceeds from cross-currency swap agreements, excluding accrued interest, and received $6 million from sales of property and equipment. During the six months ended June 30, 2021, we used $119 million to purchase property and equipment, received</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$34 million net cash from the Kuehne + Nagel acquisition, received $12 million in connection with the purchase and sale of affiliate trade receivables, and received $2 million from sales of property and equipment.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Financing activities generated $869 million of cash for the six months ended June 30, 2022, compared with $78 million used for the same period of 2021. The primary sources of cash from financing activities in the six months ended June 30, 2022, were $898 million in proceeds from long-term debt, partially offset by $15 million repayment of debt and finance leases and $12 million in payments for employee taxes on net settlement of equity awards. The primary uses of cash from financing activities in the six months ended June 30, 2021, were $128 million in the purchase of a noncontrolling interest, $56 million in repayments of debt and finance leases, and $25 million in repayment of debt related to a trade securitization program, partially offset by $116 million of net transfers from XPO.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do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Company’s contractual cash requirements have not changed materially since the 2021 Form 10-K, except for the new term loan credit agreements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Preparation of our condensed consolidated financial statements in accordance with GAAP requires us to make estimates and assumptions that affect the reported amounts of certain assets, liabilities, revenues and expenses, as well as related disclosure of contingent assets and liabilities. There have been no material changes to the critical accounting policies and estimates as previously disclosed in Part II, Item 8 of our Annual Report on Form 10-K for the year ended December 31, 2021, and that are hereby incorporated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25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Information related to new accounting standards is included in Note 1—Basis of Presentation and Significant Accounting Policies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market risk disclosures involve forward-looking statements. Actual results could differ materially from those projected in such forward-looking statements. We are exposed to market risk related to changes in interest rates and foreign currency exchange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Our long-term debt portfolio, excluding finance leases and other debt, consists of $800 million fixed rate and $900 million variable rate loans, complemented by a variable-rate revolving credit facility. In the second quarter of 2022, we entered into multiple swap agreements to convert $650 million of variable rate debt from SOFR-indexed to EURIBOR-indexed. A hypothetical 1% increase in EURIBOR would, among other things, increase our interest expense by approximately $6.5 million. We also entered into multiple swap agreements to convert $250 million of variable rate USD-denominated debt into USD-denominated fixed rate debt. For our fixed rate notes, a 1% increase or decrease in interest rates would decrease or increase the fair value of our notes by approximately 4.5%.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 significant proportion of our net assets and income are in non-U.S. dollar (“USD”) currencies, primarily the Euro (“EUR”) and British pound sterling (“GBP”). We are exposed to currency risk from potential changes in functional currency values of our foreign currency denominated assets, liabilities and cash flows. Consequently, a depreciation of the EUR or the GBP relative to the USD could have an adverse impact on our financial results.</w:t>
      </w:r>
    </w:p>
    <w:p>
      <w:pPr>
        <w:spacing w:after="0" w:line="162"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We entered into cross-currency swap agreements to manage our foreign currency exchange risk by effectively converting a portion of the fixed-rate USD-denominated debt, including the interest payments, to fixed-rate EUR-denominated debt and a portion of the floating-rate USD-denominated loans, including the interest payments, to floating-rate EUR-denominated debt. We use foreign currency option contracts to mitigate the risk of a reduction in the value of earnings from our operations that use the EUR or GBP as their functional currency.</w:t>
      </w:r>
    </w:p>
    <w:p>
      <w:pPr>
        <w:spacing w:after="0" w:line="21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As of June 30, 2022, a uniform 10% strengthening in the value of the USD relative to the EUR would have resulted in an increase in net assets of approximately $57 million. As of June 30, 2022, a uniform 10% strengthening in the value of the USD relative to the GBP would have resulted in a decrease in net assets of approximately $48 million. These theoretical calculations assume that an instantaneous, parallel shift in exchange rates occurs, which is not consistent with the history of foreign currency markets. Fluctuations in exchange rates also affect the volume of sales or the foreign currency sales price as competitors’ services become more or less attractive. The sensitivity analysis of the impact of changes in foreign currency exchange rates does not factor in a potential change in sales levels or local currency prices.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defined in Rule 13a-15(e) and Rule 15d-15(e) under the Securities Exchange Act of 1934, as amended, as of June 30, 2022. Based on that evaluation, our CEO and CFO concluded that our disclosure controls and procedures were effective as of June 30, 2022, such that the information required to be included in our Securities and Exchange Commission (“SEC”) reports is: (i) recorded, processed, summarized and reported within the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our most recently completed fiscal quarter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7" w:right="5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11—Commitments and Contingencies to the condensed consolidated financial statements included in this Quarterly Report on Form 10-Q for a description of our legal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under “Risk Factors” in the 2021 Form 10-K and our Quarterly Report on Form 10-Q for the quarter ended March 31, 2022, except as set forth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Acquisition of Clipper Logistics plc.</w:t>
      </w:r>
    </w:p>
    <w:p>
      <w:pPr>
        <w:spacing w:after="0" w:line="22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On February 28, 2022, the Company and the board of directors of Clipper Logistics plc (“Clipper”) reached an agreement on the terms and conditions of a recommended cash and share offer to be made by GXO for the entire issued and to be issued share capital of Clipper. It was intended that the acquisition of Clipper would be effected by means of a Court-sanctioned scheme of arrangement (the “Scheme”). On May 24, 2022, the Company announced that the Scheme had become effective and the acquisition of Clipper had been completed following the sanction of the Scheme by the High Court of Justice in England and Wales on May 20, 2022. The acquisition of Clipper remains subject to the receipt of regulatory approval from the Competition and Markets Authority in the United Kingdom. Regulatory approval for our acquisition of Clipper may not be completed on the currently contemplated timeline or in the currently contemplated form, or at all, and the acquisition may not achieve the intended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600" w:type="dxa"/>
            <w:vAlign w:val="bottom"/>
            <w:gridSpan w:val="12"/>
            <w:vMerge w:val="restart"/>
          </w:tcPr>
          <w:p>
            <w:pPr>
              <w:ind w:left="4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15"/>
        </w:trPr>
        <w:tc>
          <w:tcPr>
            <w:tcW w:w="46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89"/>
              </w:rPr>
              <w:t>Number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0" w:type="dxa"/>
            <w:vAlign w:val="bottom"/>
            <w:gridSpan w:val="1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340" w:type="dxa"/>
            <w:vAlign w:val="bottom"/>
            <w:gridSpan w:val="3"/>
          </w:tcPr>
          <w:p>
            <w:pPr>
              <w:spacing w:after="0"/>
              <w:rPr>
                <w:sz w:val="20"/>
                <w:szCs w:val="20"/>
                <w:color w:val="auto"/>
              </w:rPr>
            </w:pPr>
            <w:r>
              <w:rPr>
                <w:rFonts w:ascii="Arial" w:cs="Arial" w:eastAsia="Arial" w:hAnsi="Arial"/>
                <w:sz w:val="18"/>
                <w:szCs w:val="18"/>
                <w:color w:val="auto"/>
              </w:rPr>
              <w:t>10.1***</w:t>
            </w:r>
          </w:p>
        </w:tc>
        <w:tc>
          <w:tcPr>
            <w:tcW w:w="9600" w:type="dxa"/>
            <w:vAlign w:val="bottom"/>
            <w:gridSpan w:val="12"/>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Term Loan Credit Agreement, dated as of May 25, 2022, by and among the Company, the lenders and other parties from time to time</w:t>
              </w:r>
            </w:hyperlink>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58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party thereto, and Barclays Bank plc, as Administrative Agent, incorporated by reference to Exhibit 10.1 of the Company’s Current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6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Report on Form 8-K (Commission file no. 001-40470) filed with the SEC on May 26, 2022.</w:t>
              </w:r>
            </w:hyperlink>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0" w:type="dxa"/>
            <w:vAlign w:val="bottom"/>
            <w:gridSpan w:val="12"/>
          </w:tcPr>
          <w:p>
            <w:pPr>
              <w:spacing w:after="0"/>
              <w:rPr>
                <w:rFonts w:ascii="Arial" w:cs="Arial" w:eastAsia="Arial" w:hAnsi="Arial"/>
                <w:sz w:val="18"/>
                <w:szCs w:val="18"/>
                <w:color w:val="0000FF"/>
                <w:w w:val="96"/>
              </w:rPr>
            </w:pPr>
            <w:hyperlink w:anchor="page35">
              <w:r>
                <w:rPr>
                  <w:rFonts w:ascii="Arial" w:cs="Arial" w:eastAsia="Arial" w:hAnsi="Arial"/>
                  <w:sz w:val="18"/>
                  <w:szCs w:val="18"/>
                  <w:color w:val="0000FF"/>
                  <w:w w:val="96"/>
                </w:rPr>
                <w:t>Certification of the Principal Executive Officer pursuant to Section 302 of the Sarbanes-Oxley Act of 2002, with respect to the</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35">
              <w:r>
                <w:rPr>
                  <w:rFonts w:ascii="Arial" w:cs="Arial" w:eastAsia="Arial" w:hAnsi="Arial"/>
                  <w:sz w:val="18"/>
                  <w:szCs w:val="18"/>
                  <w:color w:val="0000FF"/>
                  <w:w w:val="90"/>
                </w:rPr>
                <w:t>registrant’s Quarterly Report on Form 10-Q for the fiscal quarter ended June 30, 2022.</w:t>
              </w:r>
            </w:hyperlink>
          </w:p>
        </w:tc>
        <w:tc>
          <w:tcPr>
            <w:tcW w:w="28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0" w:type="dxa"/>
            <w:vAlign w:val="bottom"/>
            <w:gridSpan w:val="12"/>
          </w:tcPr>
          <w:p>
            <w:pPr>
              <w:spacing w:after="0"/>
              <w:rPr>
                <w:rFonts w:ascii="Arial" w:cs="Arial" w:eastAsia="Arial" w:hAnsi="Arial"/>
                <w:sz w:val="18"/>
                <w:szCs w:val="18"/>
                <w:color w:val="0000FF"/>
                <w:w w:val="97"/>
              </w:rPr>
            </w:pPr>
            <w:hyperlink w:anchor="page36">
              <w:r>
                <w:rPr>
                  <w:rFonts w:ascii="Arial" w:cs="Arial" w:eastAsia="Arial" w:hAnsi="Arial"/>
                  <w:sz w:val="18"/>
                  <w:szCs w:val="18"/>
                  <w:color w:val="0000FF"/>
                  <w:w w:val="97"/>
                </w:rPr>
                <w:t>Certification of the Principal Financial Officer pursuant to Section 302 of the Sarbanes-Oxley Act of 2002, with respect to the</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36">
              <w:r>
                <w:rPr>
                  <w:rFonts w:ascii="Arial" w:cs="Arial" w:eastAsia="Arial" w:hAnsi="Arial"/>
                  <w:sz w:val="18"/>
                  <w:szCs w:val="18"/>
                  <w:color w:val="0000FF"/>
                  <w:w w:val="90"/>
                </w:rPr>
                <w:t>registrant’s Quarterly Report on Form 10-Q for the fiscal quarter ended June 30, 2022.</w:t>
              </w:r>
            </w:hyperlink>
          </w:p>
        </w:tc>
        <w:tc>
          <w:tcPr>
            <w:tcW w:w="282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gridSpan w:val="2"/>
          </w:tcPr>
          <w:p>
            <w:pPr>
              <w:spacing w:after="0"/>
              <w:rPr>
                <w:sz w:val="20"/>
                <w:szCs w:val="20"/>
                <w:color w:val="auto"/>
              </w:rPr>
            </w:pPr>
            <w:r>
              <w:rPr>
                <w:rFonts w:ascii="Arial" w:cs="Arial" w:eastAsia="Arial" w:hAnsi="Arial"/>
                <w:sz w:val="18"/>
                <w:szCs w:val="18"/>
                <w:color w:val="auto"/>
              </w:rPr>
              <w:t>32.1**</w:t>
            </w:r>
          </w:p>
        </w:tc>
        <w:tc>
          <w:tcPr>
            <w:tcW w:w="820" w:type="dxa"/>
            <w:vAlign w:val="bottom"/>
          </w:tcPr>
          <w:p>
            <w:pPr>
              <w:spacing w:after="0"/>
              <w:rPr>
                <w:sz w:val="22"/>
                <w:szCs w:val="22"/>
                <w:color w:val="auto"/>
              </w:rPr>
            </w:pPr>
          </w:p>
        </w:tc>
        <w:tc>
          <w:tcPr>
            <w:tcW w:w="9600" w:type="dxa"/>
            <w:vAlign w:val="bottom"/>
            <w:gridSpan w:val="12"/>
          </w:tcPr>
          <w:p>
            <w:pPr>
              <w:spacing w:after="0"/>
              <w:rPr>
                <w:rFonts w:ascii="Arial" w:cs="Arial" w:eastAsia="Arial" w:hAnsi="Arial"/>
                <w:sz w:val="18"/>
                <w:szCs w:val="18"/>
                <w:color w:val="0000FF"/>
                <w:w w:val="96"/>
              </w:rPr>
            </w:pPr>
            <w:hyperlink w:anchor="page37">
              <w:r>
                <w:rPr>
                  <w:rFonts w:ascii="Arial" w:cs="Arial" w:eastAsia="Arial" w:hAnsi="Arial"/>
                  <w:sz w:val="18"/>
                  <w:szCs w:val="18"/>
                  <w:color w:val="0000FF"/>
                  <w:w w:val="96"/>
                </w:rPr>
                <w:t>Certification of the Principal Executive Officer Pursuant to Section 906 of the Sarbanes-Oxley Act of 2002, with respect to the</w:t>
              </w:r>
            </w:hyperlink>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37">
              <w:r>
                <w:rPr>
                  <w:rFonts w:ascii="Arial" w:cs="Arial" w:eastAsia="Arial" w:hAnsi="Arial"/>
                  <w:sz w:val="18"/>
                  <w:szCs w:val="18"/>
                  <w:color w:val="0000FF"/>
                  <w:w w:val="90"/>
                </w:rPr>
                <w:t>registrant’s Quarterly Report on Form 10-Q for the fiscal quarter ended June 30, 2022.</w:t>
              </w:r>
            </w:hyperlink>
          </w:p>
        </w:tc>
        <w:tc>
          <w:tcPr>
            <w:tcW w:w="2900" w:type="dxa"/>
            <w:vAlign w:val="bottom"/>
            <w:tcBorders>
              <w:top w:val="single" w:sz="8" w:color="0000FF"/>
            </w:tcBorders>
            <w:gridSpan w:val="5"/>
          </w:tcPr>
          <w:p>
            <w:pPr>
              <w:spacing w:after="0"/>
              <w:rPr>
                <w:sz w:val="13"/>
                <w:szCs w:val="13"/>
                <w:color w:val="auto"/>
              </w:rPr>
            </w:pPr>
          </w:p>
        </w:tc>
        <w:tc>
          <w:tcPr>
            <w:tcW w:w="4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0" w:type="dxa"/>
            <w:vAlign w:val="bottom"/>
            <w:gridSpan w:val="2"/>
          </w:tcPr>
          <w:p>
            <w:pPr>
              <w:spacing w:after="0"/>
              <w:rPr>
                <w:sz w:val="20"/>
                <w:szCs w:val="20"/>
                <w:color w:val="auto"/>
              </w:rPr>
            </w:pPr>
            <w:r>
              <w:rPr>
                <w:rFonts w:ascii="Arial" w:cs="Arial" w:eastAsia="Arial" w:hAnsi="Arial"/>
                <w:sz w:val="18"/>
                <w:szCs w:val="18"/>
                <w:color w:val="auto"/>
              </w:rPr>
              <w:t>32.2**</w:t>
            </w:r>
          </w:p>
        </w:tc>
        <w:tc>
          <w:tcPr>
            <w:tcW w:w="820" w:type="dxa"/>
            <w:vAlign w:val="bottom"/>
          </w:tcPr>
          <w:p>
            <w:pPr>
              <w:spacing w:after="0"/>
              <w:rPr>
                <w:sz w:val="22"/>
                <w:szCs w:val="22"/>
                <w:color w:val="auto"/>
              </w:rPr>
            </w:pPr>
          </w:p>
        </w:tc>
        <w:tc>
          <w:tcPr>
            <w:tcW w:w="9600" w:type="dxa"/>
            <w:vAlign w:val="bottom"/>
            <w:gridSpan w:val="12"/>
          </w:tcPr>
          <w:p>
            <w:pPr>
              <w:spacing w:after="0"/>
              <w:rPr>
                <w:rFonts w:ascii="Arial" w:cs="Arial" w:eastAsia="Arial" w:hAnsi="Arial"/>
                <w:sz w:val="18"/>
                <w:szCs w:val="18"/>
                <w:color w:val="0000FF"/>
                <w:w w:val="97"/>
              </w:rPr>
            </w:pPr>
            <w:hyperlink w:anchor="page38">
              <w:r>
                <w:rPr>
                  <w:rFonts w:ascii="Arial" w:cs="Arial" w:eastAsia="Arial" w:hAnsi="Arial"/>
                  <w:sz w:val="18"/>
                  <w:szCs w:val="18"/>
                  <w:color w:val="0000FF"/>
                  <w:w w:val="97"/>
                </w:rPr>
                <w:t>Certification of the Principal Financial Officer Pursuant to Section 906 of the Sarbanes-Oxley Act of 2002, with respect to the</w:t>
              </w:r>
            </w:hyperlink>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38">
              <w:r>
                <w:rPr>
                  <w:rFonts w:ascii="Arial" w:cs="Arial" w:eastAsia="Arial" w:hAnsi="Arial"/>
                  <w:sz w:val="18"/>
                  <w:szCs w:val="18"/>
                  <w:color w:val="0000FF"/>
                </w:rPr>
                <w:t>registrant’s Quarterly Report on Form 10-Q for the fiscal quarter ended June 30, 2022.</w:t>
              </w:r>
            </w:hyperlink>
          </w:p>
        </w:tc>
        <w:tc>
          <w:tcPr>
            <w:tcW w:w="5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62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Inline XBRL Instance Document.</w:t>
            </w:r>
          </w:p>
        </w:tc>
        <w:tc>
          <w:tcPr>
            <w:tcW w:w="3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6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w:t>
            </w:r>
          </w:p>
        </w:tc>
        <w:tc>
          <w:tcPr>
            <w:tcW w:w="0" w:type="dxa"/>
            <w:vAlign w:val="bottom"/>
          </w:tcPr>
          <w:p>
            <w:pPr>
              <w:spacing w:after="0"/>
              <w:rPr>
                <w:sz w:val="1"/>
                <w:szCs w:val="1"/>
                <w:color w:val="auto"/>
              </w:rPr>
            </w:pPr>
          </w:p>
        </w:tc>
      </w:tr>
      <w:tr>
        <w:trPr>
          <w:trHeight w:val="283"/>
        </w:trPr>
        <w:tc>
          <w:tcPr>
            <w:tcW w:w="13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60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84"/>
        </w:trPr>
        <w:tc>
          <w:tcPr>
            <w:tcW w:w="13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60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83"/>
        </w:trPr>
        <w:tc>
          <w:tcPr>
            <w:tcW w:w="13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60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83"/>
        </w:trPr>
        <w:tc>
          <w:tcPr>
            <w:tcW w:w="13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60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360" w:hanging="1334"/>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1360" w:hanging="1334"/>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6"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Exhibits have been omitted pursuant to Item 601(a)(5) of Regulation S-K. The Company will furnish supplementally copies of omitted</w:t>
      </w:r>
    </w:p>
    <w:p>
      <w:pPr>
        <w:spacing w:after="0" w:line="21" w:lineRule="exact"/>
        <w:rPr>
          <w:rFonts w:ascii="Arial" w:cs="Arial" w:eastAsia="Arial" w:hAnsi="Arial"/>
          <w:sz w:val="18"/>
          <w:szCs w:val="18"/>
          <w:color w:val="auto"/>
        </w:rPr>
      </w:pPr>
    </w:p>
    <w:p>
      <w:pPr>
        <w:ind w:left="1360" w:hanging="1334"/>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 to the Securities and Exchange Commission or its staff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7" w:right="49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GXO Logistics, Inc.</w:t>
      </w:r>
    </w:p>
    <w:p>
      <w:pPr>
        <w:spacing w:after="0" w:line="297" w:lineRule="exact"/>
        <w:rPr>
          <w:sz w:val="20"/>
          <w:szCs w:val="20"/>
          <w:color w:val="auto"/>
        </w:rPr>
      </w:pPr>
    </w:p>
    <w:p>
      <w:pPr>
        <w:ind w:left="20"/>
        <w:spacing w:after="0"/>
        <w:tabs>
          <w:tab w:leader="none" w:pos="5560" w:val="left"/>
          <w:tab w:leader="none" w:pos="634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14605</wp:posOffset>
            </wp:positionV>
            <wp:extent cx="3111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Malcolm Wilson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Executive Officer)</w:t>
      </w:r>
    </w:p>
    <w:p>
      <w:pPr>
        <w:spacing w:after="0" w:line="292" w:lineRule="exact"/>
        <w:rPr>
          <w:sz w:val="20"/>
          <w:szCs w:val="20"/>
          <w:color w:val="auto"/>
        </w:rPr>
      </w:pPr>
    </w:p>
    <w:p>
      <w:pPr>
        <w:ind w:left="20"/>
        <w:spacing w:after="0"/>
        <w:tabs>
          <w:tab w:leader="none" w:pos="5560" w:val="left"/>
          <w:tab w:leader="none" w:pos="634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14605</wp:posOffset>
            </wp:positionV>
            <wp:extent cx="3111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Baris Oran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417"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Malcolm Wilson, certify that:</w:t>
      </w:r>
    </w:p>
    <w:p>
      <w:pPr>
        <w:spacing w:after="0" w:line="140" w:lineRule="exact"/>
        <w:rPr>
          <w:sz w:val="20"/>
          <w:szCs w:val="20"/>
          <w:color w:val="auto"/>
        </w:rPr>
      </w:pPr>
    </w:p>
    <w:p>
      <w:pPr>
        <w:ind w:left="420" w:hanging="169"/>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2022 of GXO Logistics, Inc.;</w:t>
      </w:r>
    </w:p>
    <w:p>
      <w:pPr>
        <w:spacing w:after="0" w:line="140" w:lineRule="exact"/>
        <w:rPr>
          <w:rFonts w:ascii="Arial" w:cs="Arial" w:eastAsia="Arial" w:hAnsi="Arial"/>
          <w:sz w:val="16"/>
          <w:szCs w:val="16"/>
          <w:color w:val="auto"/>
        </w:rPr>
      </w:pPr>
    </w:p>
    <w:p>
      <w:pPr>
        <w:ind w:left="420" w:right="80" w:hanging="169"/>
        <w:spacing w:after="0" w:line="347" w:lineRule="auto"/>
        <w:tabs>
          <w:tab w:leader="none" w:pos="4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5"/>
          <w:szCs w:val="15"/>
          <w:color w:val="auto"/>
        </w:rPr>
      </w:pPr>
    </w:p>
    <w:p>
      <w:pPr>
        <w:ind w:left="420" w:right="60" w:hanging="169"/>
        <w:spacing w:after="0" w:line="310"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420" w:hanging="169"/>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55"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51" w:lineRule="exact"/>
        <w:rPr>
          <w:rFonts w:ascii="Arial" w:cs="Arial" w:eastAsia="Arial" w:hAnsi="Arial"/>
          <w:sz w:val="14"/>
          <w:szCs w:val="14"/>
          <w:color w:val="auto"/>
        </w:rPr>
      </w:pPr>
    </w:p>
    <w:p>
      <w:pPr>
        <w:ind w:left="1060" w:hanging="242"/>
        <w:spacing w:after="0" w:line="296" w:lineRule="auto"/>
        <w:tabs>
          <w:tab w:leader="none" w:pos="1037"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6"/>
          <w:szCs w:val="16"/>
          <w:color w:val="auto"/>
        </w:rPr>
      </w:pPr>
    </w:p>
    <w:p>
      <w:pPr>
        <w:ind w:left="1060" w:right="160" w:hanging="242"/>
        <w:spacing w:after="0" w:line="296" w:lineRule="auto"/>
        <w:tabs>
          <w:tab w:leader="none" w:pos="1046"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6"/>
          <w:szCs w:val="16"/>
          <w:color w:val="auto"/>
        </w:rPr>
      </w:pPr>
    </w:p>
    <w:p>
      <w:pPr>
        <w:ind w:left="1060" w:right="180" w:hanging="242"/>
        <w:spacing w:after="0" w:line="310" w:lineRule="auto"/>
        <w:tabs>
          <w:tab w:leader="none" w:pos="103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1060" w:right="100" w:hanging="242"/>
        <w:spacing w:after="0" w:line="296" w:lineRule="auto"/>
        <w:tabs>
          <w:tab w:leader="none" w:pos="1046"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left="420" w:right="380" w:hanging="169"/>
        <w:spacing w:after="0" w:line="310"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6"/>
          <w:szCs w:val="16"/>
          <w:color w:val="auto"/>
        </w:rPr>
      </w:pPr>
    </w:p>
    <w:p>
      <w:pPr>
        <w:ind w:left="1060" w:right="340" w:hanging="242"/>
        <w:spacing w:after="0" w:line="310" w:lineRule="auto"/>
        <w:tabs>
          <w:tab w:leader="none" w:pos="103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060" w:right="540" w:hanging="242"/>
        <w:spacing w:after="0" w:line="310" w:lineRule="auto"/>
        <w:tabs>
          <w:tab w:leader="none" w:pos="1046"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26670</wp:posOffset>
            </wp:positionV>
            <wp:extent cx="25546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Malcolm Wilson</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Executive Officer</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(Principal Executive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August 3, 2022</w:t>
      </w:r>
    </w:p>
    <w:p>
      <w:pPr>
        <w:sectPr>
          <w:pgSz w:w="11900" w:h="16838" w:orient="portrait"/>
          <w:cols w:equalWidth="0" w:num="1">
            <w:col w:w="11240"/>
          </w:cols>
          <w:pgMar w:left="320" w:top="143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Baris Oran, certify that:</w:t>
      </w:r>
    </w:p>
    <w:p>
      <w:pPr>
        <w:spacing w:after="0" w:line="140" w:lineRule="exact"/>
        <w:rPr>
          <w:sz w:val="20"/>
          <w:szCs w:val="20"/>
          <w:color w:val="auto"/>
        </w:rPr>
      </w:pPr>
    </w:p>
    <w:p>
      <w:pPr>
        <w:ind w:left="420" w:hanging="169"/>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June 30, 2022 of GXO Logistics, Inc.;</w:t>
      </w:r>
    </w:p>
    <w:p>
      <w:pPr>
        <w:spacing w:after="0" w:line="140" w:lineRule="exact"/>
        <w:rPr>
          <w:rFonts w:ascii="Arial" w:cs="Arial" w:eastAsia="Arial" w:hAnsi="Arial"/>
          <w:sz w:val="16"/>
          <w:szCs w:val="16"/>
          <w:color w:val="auto"/>
        </w:rPr>
      </w:pPr>
    </w:p>
    <w:p>
      <w:pPr>
        <w:ind w:left="420" w:right="80" w:hanging="169"/>
        <w:spacing w:after="0" w:line="347" w:lineRule="auto"/>
        <w:tabs>
          <w:tab w:leader="none" w:pos="4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5"/>
          <w:szCs w:val="15"/>
          <w:color w:val="auto"/>
        </w:rPr>
      </w:pPr>
    </w:p>
    <w:p>
      <w:pPr>
        <w:ind w:left="420" w:right="60" w:hanging="169"/>
        <w:spacing w:after="0" w:line="310"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left="420" w:hanging="169"/>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55"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151" w:lineRule="exact"/>
        <w:rPr>
          <w:rFonts w:ascii="Arial" w:cs="Arial" w:eastAsia="Arial" w:hAnsi="Arial"/>
          <w:sz w:val="14"/>
          <w:szCs w:val="14"/>
          <w:color w:val="auto"/>
        </w:rPr>
      </w:pPr>
    </w:p>
    <w:p>
      <w:pPr>
        <w:ind w:left="1060" w:hanging="242"/>
        <w:spacing w:after="0" w:line="296" w:lineRule="auto"/>
        <w:tabs>
          <w:tab w:leader="none" w:pos="1037"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6"/>
          <w:szCs w:val="16"/>
          <w:color w:val="auto"/>
        </w:rPr>
      </w:pPr>
    </w:p>
    <w:p>
      <w:pPr>
        <w:ind w:left="1060" w:right="160" w:hanging="242"/>
        <w:spacing w:after="0" w:line="296" w:lineRule="auto"/>
        <w:tabs>
          <w:tab w:leader="none" w:pos="1046"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6"/>
          <w:szCs w:val="16"/>
          <w:color w:val="auto"/>
        </w:rPr>
      </w:pPr>
    </w:p>
    <w:p>
      <w:pPr>
        <w:ind w:left="1060" w:right="180" w:hanging="242"/>
        <w:spacing w:after="0" w:line="310" w:lineRule="auto"/>
        <w:tabs>
          <w:tab w:leader="none" w:pos="103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6"/>
          <w:szCs w:val="16"/>
          <w:color w:val="auto"/>
        </w:rPr>
      </w:pPr>
    </w:p>
    <w:p>
      <w:pPr>
        <w:ind w:left="1060" w:right="100" w:hanging="242"/>
        <w:spacing w:after="0" w:line="296" w:lineRule="auto"/>
        <w:tabs>
          <w:tab w:leader="none" w:pos="1046"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left="420" w:right="380" w:hanging="169"/>
        <w:spacing w:after="0" w:line="310"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4" w:lineRule="exact"/>
        <w:rPr>
          <w:rFonts w:ascii="Arial" w:cs="Arial" w:eastAsia="Arial" w:hAnsi="Arial"/>
          <w:sz w:val="16"/>
          <w:szCs w:val="16"/>
          <w:color w:val="auto"/>
        </w:rPr>
      </w:pPr>
    </w:p>
    <w:p>
      <w:pPr>
        <w:ind w:left="1060" w:right="340" w:hanging="242"/>
        <w:spacing w:after="0" w:line="310" w:lineRule="auto"/>
        <w:tabs>
          <w:tab w:leader="none" w:pos="1037"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1060" w:right="540" w:hanging="242"/>
        <w:spacing w:after="0" w:line="310" w:lineRule="auto"/>
        <w:tabs>
          <w:tab w:leader="none" w:pos="1046"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08"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26670</wp:posOffset>
            </wp:positionV>
            <wp:extent cx="25546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5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Baris Oran</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Chief Financial Officer</w:t>
      </w:r>
    </w:p>
    <w:p>
      <w:pPr>
        <w:spacing w:after="0" w:line="5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(Principal Financial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August 3, 2022</w:t>
      </w:r>
    </w:p>
    <w:p>
      <w:pPr>
        <w:sectPr>
          <w:pgSz w:w="11900" w:h="16838" w:orient="portrait"/>
          <w:cols w:equalWidth="0" w:num="1">
            <w:col w:w="11240"/>
          </w:cols>
          <w:pgMar w:left="320" w:top="143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56" w:lineRule="exact"/>
        <w:rPr>
          <w:sz w:val="20"/>
          <w:szCs w:val="20"/>
          <w:color w:val="auto"/>
        </w:rPr>
      </w:pPr>
    </w:p>
    <w:p>
      <w:pPr>
        <w:ind w:right="120" w:firstLine="445"/>
        <w:spacing w:after="0" w:line="288"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Executive Officer of GXO Logistics, Inc. (the “Company”), hereby certify, based on my knowledge, that the Quarterly Report on Form 10-Q of the Company for the quarter ended June 30, 2022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Malcolm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Malcolm Wilson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2022</w:t>
      </w:r>
    </w:p>
    <w:p>
      <w:pPr>
        <w:sectPr>
          <w:pgSz w:w="11900" w:h="16838" w:orient="portrait"/>
          <w:cols w:equalWidth="0" w:num="1">
            <w:col w:w="11240"/>
          </w:cols>
          <w:pgMar w:left="320" w:top="143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56" w:lineRule="exact"/>
        <w:rPr>
          <w:sz w:val="20"/>
          <w:szCs w:val="20"/>
          <w:color w:val="auto"/>
        </w:rPr>
      </w:pPr>
    </w:p>
    <w:p>
      <w:pPr>
        <w:ind w:right="180" w:firstLine="445"/>
        <w:spacing w:after="0" w:line="288"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Financial Officer of GXO Logistics, Inc. (the “Company”), hereby certify, based on my knowledge, that the Quarterly Report on Form 10-Q of the Company for the quarter ended June 30, 2022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Baris 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Baris Oran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2022</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47" Type="http://schemas.openxmlformats.org/officeDocument/2006/relationships/hyperlink" Target="https://www.sec.gov/Archives/edgar/data/0001852244/000110465922065355/tm221692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2022-08-03T15:30:38Z</dcterms:created>
  <dcterms:modified xsi:type="dcterms:W3CDTF">2022-08-03T15:30:38Z</dcterms:modified>
</cp:coreProperties>
</file>