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0"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p>
      <w:pPr>
        <w:spacing w:after="0" w:line="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4"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p>
      <w:pPr>
        <w:spacing w:after="0" w:line="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5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November 3, 2026</w:t>
      </w:r>
    </w:p>
    <w:p>
      <w:pPr>
        <w:spacing w:after="0" w:line="168"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3298190</wp:posOffset>
            </wp:positionH>
            <wp:positionV relativeFrom="paragraph">
              <wp:posOffset>13335</wp:posOffset>
            </wp:positionV>
            <wp:extent cx="571500" cy="228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1500" cy="22860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2"/>
          <w:szCs w:val="12"/>
          <w:b w:val="1"/>
          <w:bCs w:val="1"/>
          <w:color w:val="auto"/>
        </w:rPr>
        <w:t>GXO LOGISTICS, INC.</w:t>
      </w:r>
    </w:p>
    <w:p>
      <w:pPr>
        <w:spacing w:after="0" w:line="2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6"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_____________________________________________________________________________________________</w:t>
      </w:r>
    </w:p>
    <w:p>
      <w:pPr>
        <w:spacing w:after="0" w:line="189" w:lineRule="exact"/>
        <w:rPr>
          <w:sz w:val="24"/>
          <w:szCs w:val="24"/>
          <w:color w:val="auto"/>
        </w:rPr>
      </w:pPr>
    </w:p>
    <w:tbl>
      <w:tblPr>
        <w:tblLayout w:type="fixed"/>
        <w:tblInd w:w="940" w:type="dxa"/>
        <w:tblCellMar>
          <w:top w:w="0" w:type="dxa"/>
          <w:left w:w="0" w:type="dxa"/>
          <w:bottom w:w="0" w:type="dxa"/>
          <w:right w:w="0" w:type="dxa"/>
        </w:tblCellMar>
      </w:tblPr>
      <w:tr>
        <w:trPr>
          <w:trHeight w:val="148"/>
        </w:trPr>
        <w:tc>
          <w:tcPr>
            <w:tcW w:w="2980" w:type="dxa"/>
            <w:vAlign w:val="bottom"/>
          </w:tcPr>
          <w:p>
            <w:pPr>
              <w:jc w:val="center"/>
              <w:ind w:right="104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3540" w:type="dxa"/>
            <w:vAlign w:val="bottom"/>
          </w:tcPr>
          <w:p>
            <w:pPr>
              <w:jc w:val="right"/>
              <w:ind w:right="1480"/>
              <w:spacing w:after="0"/>
              <w:rPr>
                <w:sz w:val="20"/>
                <w:szCs w:val="20"/>
                <w:color w:val="auto"/>
              </w:rPr>
            </w:pPr>
            <w:r>
              <w:rPr>
                <w:rFonts w:ascii="Times New Roman" w:cs="Times New Roman" w:eastAsia="Times New Roman" w:hAnsi="Times New Roman"/>
                <w:sz w:val="12"/>
                <w:szCs w:val="12"/>
                <w:b w:val="1"/>
                <w:bCs w:val="1"/>
                <w:color w:val="auto"/>
              </w:rPr>
              <w:t>001-40470</w:t>
            </w:r>
          </w:p>
        </w:tc>
        <w:tc>
          <w:tcPr>
            <w:tcW w:w="2780" w:type="dxa"/>
            <w:vAlign w:val="bottom"/>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86-2098312</w:t>
            </w:r>
          </w:p>
        </w:tc>
      </w:tr>
      <w:tr>
        <w:trPr>
          <w:trHeight w:val="144"/>
        </w:trPr>
        <w:tc>
          <w:tcPr>
            <w:tcW w:w="2980" w:type="dxa"/>
            <w:vAlign w:val="bottom"/>
          </w:tcPr>
          <w:p>
            <w:pPr>
              <w:jc w:val="center"/>
              <w:ind w:right="1040"/>
              <w:spacing w:after="0"/>
              <w:rPr>
                <w:sz w:val="20"/>
                <w:szCs w:val="20"/>
                <w:color w:val="auto"/>
              </w:rPr>
            </w:pPr>
            <w:r>
              <w:rPr>
                <w:rFonts w:ascii="Times New Roman" w:cs="Times New Roman" w:eastAsia="Times New Roman" w:hAnsi="Times New Roman"/>
                <w:sz w:val="12"/>
                <w:szCs w:val="12"/>
                <w:color w:val="auto"/>
              </w:rPr>
              <w:t>(State or other jurisdiction of</w:t>
            </w:r>
          </w:p>
        </w:tc>
        <w:tc>
          <w:tcPr>
            <w:tcW w:w="3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2780" w:type="dxa"/>
            <w:vAlign w:val="bottom"/>
          </w:tcPr>
          <w:p>
            <w:pPr>
              <w:jc w:val="center"/>
              <w:ind w:left="1060"/>
              <w:spacing w:after="0"/>
              <w:rPr>
                <w:sz w:val="20"/>
                <w:szCs w:val="20"/>
                <w:color w:val="auto"/>
              </w:rPr>
            </w:pPr>
            <w:r>
              <w:rPr>
                <w:rFonts w:ascii="Times New Roman" w:cs="Times New Roman" w:eastAsia="Times New Roman" w:hAnsi="Times New Roman"/>
                <w:sz w:val="12"/>
                <w:szCs w:val="12"/>
                <w:color w:val="auto"/>
              </w:rPr>
              <w:t>(IRS Employer Identification No.)</w:t>
            </w:r>
          </w:p>
        </w:tc>
      </w:tr>
      <w:tr>
        <w:trPr>
          <w:trHeight w:val="155"/>
        </w:trPr>
        <w:tc>
          <w:tcPr>
            <w:tcW w:w="2980" w:type="dxa"/>
            <w:vAlign w:val="bottom"/>
          </w:tcPr>
          <w:p>
            <w:pPr>
              <w:jc w:val="center"/>
              <w:ind w:right="1040"/>
              <w:spacing w:after="0"/>
              <w:rPr>
                <w:sz w:val="20"/>
                <w:szCs w:val="20"/>
                <w:color w:val="auto"/>
              </w:rPr>
            </w:pPr>
            <w:r>
              <w:rPr>
                <w:rFonts w:ascii="Times New Roman" w:cs="Times New Roman" w:eastAsia="Times New Roman" w:hAnsi="Times New Roman"/>
                <w:sz w:val="12"/>
                <w:szCs w:val="12"/>
                <w:color w:val="auto"/>
                <w:w w:val="98"/>
              </w:rPr>
              <w:t>incorporation)</w:t>
            </w:r>
          </w:p>
        </w:tc>
        <w:tc>
          <w:tcPr>
            <w:tcW w:w="3540" w:type="dxa"/>
            <w:vAlign w:val="bottom"/>
          </w:tcPr>
          <w:p>
            <w:pPr>
              <w:spacing w:after="0"/>
              <w:rPr>
                <w:sz w:val="13"/>
                <w:szCs w:val="13"/>
                <w:color w:val="auto"/>
              </w:rPr>
            </w:pPr>
          </w:p>
        </w:tc>
        <w:tc>
          <w:tcPr>
            <w:tcW w:w="2780" w:type="dxa"/>
            <w:vAlign w:val="bottom"/>
          </w:tcPr>
          <w:p>
            <w:pPr>
              <w:spacing w:after="0"/>
              <w:rPr>
                <w:sz w:val="13"/>
                <w:szCs w:val="13"/>
                <w:color w:val="auto"/>
              </w:rPr>
            </w:pPr>
          </w:p>
        </w:tc>
      </w:tr>
      <w:tr>
        <w:trPr>
          <w:trHeight w:val="264"/>
        </w:trPr>
        <w:tc>
          <w:tcPr>
            <w:tcW w:w="2980" w:type="dxa"/>
            <w:vAlign w:val="bottom"/>
          </w:tcPr>
          <w:p>
            <w:pPr>
              <w:jc w:val="center"/>
              <w:ind w:right="1040"/>
              <w:spacing w:after="0"/>
              <w:rPr>
                <w:sz w:val="20"/>
                <w:szCs w:val="20"/>
                <w:color w:val="auto"/>
              </w:rPr>
            </w:pPr>
            <w:r>
              <w:rPr>
                <w:rFonts w:ascii="Times New Roman" w:cs="Times New Roman" w:eastAsia="Times New Roman" w:hAnsi="Times New Roman"/>
                <w:sz w:val="12"/>
                <w:szCs w:val="12"/>
                <w:b w:val="1"/>
                <w:bCs w:val="1"/>
                <w:color w:val="auto"/>
                <w:w w:val="98"/>
              </w:rPr>
              <w:t>Two American Lane</w:t>
            </w:r>
          </w:p>
        </w:tc>
        <w:tc>
          <w:tcPr>
            <w:tcW w:w="3540" w:type="dxa"/>
            <w:vAlign w:val="bottom"/>
          </w:tcPr>
          <w:p>
            <w:pPr>
              <w:spacing w:after="0"/>
              <w:rPr>
                <w:sz w:val="22"/>
                <w:szCs w:val="22"/>
                <w:color w:val="auto"/>
              </w:rPr>
            </w:pPr>
          </w:p>
        </w:tc>
        <w:tc>
          <w:tcPr>
            <w:tcW w:w="2780" w:type="dxa"/>
            <w:vAlign w:val="bottom"/>
          </w:tcPr>
          <w:p>
            <w:pPr>
              <w:spacing w:after="0"/>
              <w:rPr>
                <w:sz w:val="22"/>
                <w:szCs w:val="22"/>
                <w:color w:val="auto"/>
              </w:rPr>
            </w:pPr>
          </w:p>
        </w:tc>
      </w:tr>
      <w:tr>
        <w:trPr>
          <w:trHeight w:val="159"/>
        </w:trPr>
        <w:tc>
          <w:tcPr>
            <w:tcW w:w="2980" w:type="dxa"/>
            <w:vAlign w:val="bottom"/>
          </w:tcPr>
          <w:p>
            <w:pPr>
              <w:jc w:val="center"/>
              <w:ind w:right="1040"/>
              <w:spacing w:after="0"/>
              <w:rPr>
                <w:sz w:val="20"/>
                <w:szCs w:val="20"/>
                <w:color w:val="auto"/>
              </w:rPr>
            </w:pPr>
            <w:r>
              <w:rPr>
                <w:rFonts w:ascii="Times New Roman" w:cs="Times New Roman" w:eastAsia="Times New Roman" w:hAnsi="Times New Roman"/>
                <w:sz w:val="12"/>
                <w:szCs w:val="12"/>
                <w:b w:val="1"/>
                <w:bCs w:val="1"/>
                <w:color w:val="auto"/>
                <w:w w:val="99"/>
              </w:rPr>
              <w:t>Greenwich, Connecticut</w:t>
            </w:r>
          </w:p>
        </w:tc>
        <w:tc>
          <w:tcPr>
            <w:tcW w:w="3540" w:type="dxa"/>
            <w:vAlign w:val="bottom"/>
          </w:tcPr>
          <w:p>
            <w:pPr>
              <w:spacing w:after="0"/>
              <w:rPr>
                <w:sz w:val="13"/>
                <w:szCs w:val="13"/>
                <w:color w:val="auto"/>
              </w:rPr>
            </w:pPr>
          </w:p>
        </w:tc>
        <w:tc>
          <w:tcPr>
            <w:tcW w:w="2780" w:type="dxa"/>
            <w:vAlign w:val="bottom"/>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06831</w:t>
            </w:r>
          </w:p>
        </w:tc>
      </w:tr>
      <w:tr>
        <w:trPr>
          <w:trHeight w:val="180"/>
        </w:trPr>
        <w:tc>
          <w:tcPr>
            <w:tcW w:w="2980" w:type="dxa"/>
            <w:vAlign w:val="bottom"/>
          </w:tcPr>
          <w:p>
            <w:pPr>
              <w:jc w:val="center"/>
              <w:ind w:right="1020"/>
              <w:spacing w:after="0"/>
              <w:rPr>
                <w:sz w:val="20"/>
                <w:szCs w:val="20"/>
                <w:color w:val="auto"/>
              </w:rPr>
            </w:pPr>
            <w:r>
              <w:rPr>
                <w:rFonts w:ascii="Times New Roman" w:cs="Times New Roman" w:eastAsia="Times New Roman" w:hAnsi="Times New Roman"/>
                <w:sz w:val="12"/>
                <w:szCs w:val="12"/>
                <w:color w:val="auto"/>
                <w:w w:val="99"/>
              </w:rPr>
              <w:t>(Address of principal executive offices)</w:t>
            </w:r>
          </w:p>
        </w:tc>
        <w:tc>
          <w:tcPr>
            <w:tcW w:w="3540" w:type="dxa"/>
            <w:vAlign w:val="bottom"/>
          </w:tcPr>
          <w:p>
            <w:pPr>
              <w:spacing w:after="0"/>
              <w:rPr>
                <w:sz w:val="15"/>
                <w:szCs w:val="15"/>
                <w:color w:val="auto"/>
              </w:rPr>
            </w:pPr>
          </w:p>
        </w:tc>
        <w:tc>
          <w:tcPr>
            <w:tcW w:w="2780" w:type="dxa"/>
            <w:vAlign w:val="bottom"/>
          </w:tcPr>
          <w:p>
            <w:pPr>
              <w:jc w:val="center"/>
              <w:ind w:left="1080"/>
              <w:spacing w:after="0"/>
              <w:rPr>
                <w:sz w:val="20"/>
                <w:szCs w:val="20"/>
                <w:color w:val="auto"/>
              </w:rPr>
            </w:pPr>
            <w:r>
              <w:rPr>
                <w:rFonts w:ascii="Times New Roman" w:cs="Times New Roman" w:eastAsia="Times New Roman" w:hAnsi="Times New Roman"/>
                <w:sz w:val="12"/>
                <w:szCs w:val="12"/>
                <w:color w:val="auto"/>
                <w:w w:val="98"/>
              </w:rPr>
              <w:t>(Zip Code)</w:t>
            </w:r>
          </w:p>
        </w:tc>
      </w:tr>
    </w:tbl>
    <w:p>
      <w:pPr>
        <w:spacing w:after="0" w:line="12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(203) 489-1287</w:t>
      </w:r>
    </w:p>
    <w:p>
      <w:pPr>
        <w:spacing w:after="0" w:line="14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4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83"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93" w:lineRule="exact"/>
        <w:rPr>
          <w:sz w:val="24"/>
          <w:szCs w:val="24"/>
          <w:color w:val="auto"/>
        </w:rPr>
      </w:pPr>
    </w:p>
    <w:p>
      <w:pPr>
        <w:ind w:left="680" w:hanging="405"/>
        <w:spacing w:after="0"/>
        <w:tabs>
          <w:tab w:leader="none" w:pos="680" w:val="left"/>
        </w:tabs>
        <w:numPr>
          <w:ilvl w:val="0"/>
          <w:numId w:val="1"/>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42" w:lineRule="exact"/>
        <w:rPr>
          <w:rFonts w:ascii="MS PGothic" w:cs="MS PGothic" w:eastAsia="MS PGothic" w:hAnsi="MS PGothic"/>
          <w:sz w:val="12"/>
          <w:szCs w:val="12"/>
          <w:color w:val="auto"/>
          <w:highlight w:val="black"/>
        </w:rPr>
      </w:pPr>
    </w:p>
    <w:p>
      <w:pPr>
        <w:ind w:left="680" w:hanging="405"/>
        <w:spacing w:after="0"/>
        <w:tabs>
          <w:tab w:leader="none" w:pos="680" w:val="left"/>
        </w:tabs>
        <w:numPr>
          <w:ilvl w:val="0"/>
          <w:numId w:val="1"/>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42" w:lineRule="exact"/>
        <w:rPr>
          <w:rFonts w:ascii="MS PGothic" w:cs="MS PGothic" w:eastAsia="MS PGothic" w:hAnsi="MS PGothic"/>
          <w:sz w:val="12"/>
          <w:szCs w:val="12"/>
          <w:color w:val="auto"/>
          <w:highlight w:val="black"/>
        </w:rPr>
      </w:pPr>
    </w:p>
    <w:p>
      <w:pPr>
        <w:ind w:left="680" w:hanging="405"/>
        <w:spacing w:after="0"/>
        <w:tabs>
          <w:tab w:leader="none" w:pos="680" w:val="left"/>
        </w:tabs>
        <w:numPr>
          <w:ilvl w:val="0"/>
          <w:numId w:val="1"/>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42" w:lineRule="exact"/>
        <w:rPr>
          <w:rFonts w:ascii="MS PGothic" w:cs="MS PGothic" w:eastAsia="MS PGothic" w:hAnsi="MS PGothic"/>
          <w:sz w:val="12"/>
          <w:szCs w:val="12"/>
          <w:color w:val="auto"/>
          <w:highlight w:val="black"/>
        </w:rPr>
      </w:pPr>
    </w:p>
    <w:p>
      <w:pPr>
        <w:ind w:left="680" w:hanging="405"/>
        <w:spacing w:after="0"/>
        <w:tabs>
          <w:tab w:leader="none" w:pos="680" w:val="left"/>
        </w:tabs>
        <w:numPr>
          <w:ilvl w:val="0"/>
          <w:numId w:val="1"/>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1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203" w:lineRule="exact"/>
        <w:rPr>
          <w:sz w:val="24"/>
          <w:szCs w:val="24"/>
          <w:color w:val="auto"/>
        </w:rPr>
      </w:pPr>
    </w:p>
    <w:tbl>
      <w:tblPr>
        <w:tblLayout w:type="fixed"/>
        <w:tblInd w:w="1040" w:type="dxa"/>
        <w:tblCellMar>
          <w:top w:w="0" w:type="dxa"/>
          <w:left w:w="0" w:type="dxa"/>
          <w:bottom w:w="0" w:type="dxa"/>
          <w:right w:w="0" w:type="dxa"/>
        </w:tblCellMar>
      </w:tblPr>
      <w:tr>
        <w:trPr>
          <w:trHeight w:val="138"/>
        </w:trPr>
        <w:tc>
          <w:tcPr>
            <w:tcW w:w="56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2300" w:type="dxa"/>
            <w:vAlign w:val="bottom"/>
          </w:tcPr>
          <w:p>
            <w:pPr>
              <w:spacing w:after="0"/>
              <w:rPr>
                <w:sz w:val="12"/>
                <w:szCs w:val="12"/>
                <w:color w:val="auto"/>
              </w:rPr>
            </w:pPr>
          </w:p>
        </w:tc>
        <w:tc>
          <w:tcPr>
            <w:tcW w:w="2900" w:type="dxa"/>
            <w:vAlign w:val="bottom"/>
            <w:gridSpan w:val="2"/>
          </w:tcPr>
          <w:p>
            <w:pPr>
              <w:jc w:val="center"/>
              <w:ind w:right="208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22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20"/>
        </w:trPr>
        <w:tc>
          <w:tcPr>
            <w:tcW w:w="5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r>
      <w:tr>
        <w:trPr>
          <w:trHeight w:val="187"/>
        </w:trPr>
        <w:tc>
          <w:tcPr>
            <w:tcW w:w="3760" w:type="dxa"/>
            <w:vAlign w:val="bottom"/>
            <w:gridSpan w:val="3"/>
          </w:tcPr>
          <w:p>
            <w:pPr>
              <w:jc w:val="center"/>
              <w:ind w:right="1760"/>
              <w:spacing w:after="0"/>
              <w:rPr>
                <w:sz w:val="20"/>
                <w:szCs w:val="20"/>
                <w:color w:val="auto"/>
              </w:rPr>
            </w:pPr>
            <w:r>
              <w:rPr>
                <w:rFonts w:ascii="Times New Roman" w:cs="Times New Roman" w:eastAsia="Times New Roman" w:hAnsi="Times New Roman"/>
                <w:sz w:val="12"/>
                <w:szCs w:val="12"/>
                <w:color w:val="auto"/>
                <w:w w:val="99"/>
              </w:rPr>
              <w:t>Common stock, par value $0.01 per share</w:t>
            </w:r>
          </w:p>
        </w:tc>
        <w:tc>
          <w:tcPr>
            <w:tcW w:w="2900" w:type="dxa"/>
            <w:vAlign w:val="bottom"/>
            <w:gridSpan w:val="2"/>
          </w:tcPr>
          <w:p>
            <w:pPr>
              <w:jc w:val="center"/>
              <w:ind w:right="2080"/>
              <w:spacing w:after="0"/>
              <w:rPr>
                <w:sz w:val="20"/>
                <w:szCs w:val="20"/>
                <w:color w:val="auto"/>
              </w:rPr>
            </w:pPr>
            <w:r>
              <w:rPr>
                <w:rFonts w:ascii="Times New Roman" w:cs="Times New Roman" w:eastAsia="Times New Roman" w:hAnsi="Times New Roman"/>
                <w:sz w:val="12"/>
                <w:szCs w:val="12"/>
                <w:color w:val="auto"/>
                <w:w w:val="99"/>
              </w:rPr>
              <w:t>GXO</w:t>
            </w:r>
          </w:p>
        </w:tc>
        <w:tc>
          <w:tcPr>
            <w:tcW w:w="2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New York Stock Exchange</w:t>
            </w:r>
          </w:p>
        </w:tc>
      </w:tr>
      <w:tr>
        <w:trPr>
          <w:trHeight w:val="189"/>
        </w:trPr>
        <w:tc>
          <w:tcPr>
            <w:tcW w:w="3760" w:type="dxa"/>
            <w:vAlign w:val="bottom"/>
            <w:gridSpan w:val="3"/>
          </w:tcPr>
          <w:p>
            <w:pPr>
              <w:jc w:val="center"/>
              <w:ind w:right="1760"/>
              <w:spacing w:after="0"/>
              <w:rPr>
                <w:sz w:val="20"/>
                <w:szCs w:val="20"/>
                <w:color w:val="auto"/>
              </w:rPr>
            </w:pPr>
            <w:r>
              <w:rPr>
                <w:rFonts w:ascii="Times New Roman" w:cs="Times New Roman" w:eastAsia="Times New Roman" w:hAnsi="Times New Roman"/>
                <w:sz w:val="12"/>
                <w:szCs w:val="12"/>
                <w:color w:val="auto"/>
              </w:rPr>
              <w:t>3.750% Notes due 2030</w:t>
            </w:r>
          </w:p>
        </w:tc>
        <w:tc>
          <w:tcPr>
            <w:tcW w:w="2900" w:type="dxa"/>
            <w:vAlign w:val="bottom"/>
            <w:gridSpan w:val="2"/>
          </w:tcPr>
          <w:p>
            <w:pPr>
              <w:jc w:val="center"/>
              <w:ind w:right="2080"/>
              <w:spacing w:after="0"/>
              <w:rPr>
                <w:sz w:val="20"/>
                <w:szCs w:val="20"/>
                <w:color w:val="auto"/>
              </w:rPr>
            </w:pPr>
            <w:r>
              <w:rPr>
                <w:rFonts w:ascii="Times New Roman" w:cs="Times New Roman" w:eastAsia="Times New Roman" w:hAnsi="Times New Roman"/>
                <w:sz w:val="12"/>
                <w:szCs w:val="12"/>
                <w:color w:val="auto"/>
              </w:rPr>
              <w:t>GXO/30</w:t>
            </w:r>
          </w:p>
        </w:tc>
        <w:tc>
          <w:tcPr>
            <w:tcW w:w="2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New York Stock Exchange</w:t>
            </w:r>
          </w:p>
        </w:tc>
      </w:tr>
    </w:tbl>
    <w:p>
      <w:pPr>
        <w:spacing w:after="0" w:line="241" w:lineRule="exact"/>
        <w:rPr>
          <w:sz w:val="24"/>
          <w:szCs w:val="24"/>
          <w:color w:val="auto"/>
        </w:rPr>
      </w:pPr>
    </w:p>
    <w:p>
      <w:pPr>
        <w:spacing w:after="0" w:line="257"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tabs>
          <w:tab w:leader="none" w:pos="1400" w:val="left"/>
        </w:tabs>
        <w:rPr>
          <w:sz w:val="20"/>
          <w:szCs w:val="20"/>
          <w:color w:val="auto"/>
        </w:rPr>
      </w:pPr>
      <w:r>
        <w:rPr>
          <w:rFonts w:ascii="Times New Roman" w:cs="Times New Roman" w:eastAsia="Times New Roman" w:hAnsi="Times New Roman"/>
          <w:sz w:val="12"/>
          <w:szCs w:val="12"/>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621665</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20"/>
          </w:cols>
          <w:pgMar w:left="300" w:top="949" w:right="479" w:bottom="1440" w:gutter="0" w:footer="0" w:header="0"/>
        </w:sectPr>
      </w:pPr>
    </w:p>
    <w:bookmarkStart w:id="1" w:name="page2"/>
    <w:bookmarkEnd w:id="1"/>
    <w:p>
      <w:pPr>
        <w:spacing w:after="0" w:line="163"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501650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b w:val="1"/>
          <w:bCs w:val="1"/>
          <w:color w:val="auto"/>
        </w:rPr>
        <w:t>Item 7.01. Regulation FD Disclosure.</w:t>
      </w:r>
    </w:p>
    <w:p>
      <w:pPr>
        <w:spacing w:after="0" w:line="180"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2"/>
          <w:szCs w:val="12"/>
          <w:color w:val="auto"/>
        </w:rPr>
        <w:t>On November 3, 2026, GXO Logistics, Inc. (the “Company”) released a slide presentation expected to be used by the Company in connection with certain future investor presentations. A copy of the slide presentation is attached as Exhibit 99.1 to this Current Report on Form 8-K.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slide presentation should be read together with the Company's filings with the Securities and Exchange Commission, including the Quarterly Report on Form 10-Q for the fiscal quarter ended September 30, 2026.</w:t>
      </w:r>
    </w:p>
    <w:p>
      <w:pPr>
        <w:spacing w:after="0" w:line="168" w:lineRule="exact"/>
        <w:rPr>
          <w:sz w:val="20"/>
          <w:szCs w:val="20"/>
          <w:color w:val="auto"/>
        </w:rPr>
      </w:pPr>
    </w:p>
    <w:p>
      <w:pPr>
        <w:ind w:right="80"/>
        <w:spacing w:after="0" w:line="327" w:lineRule="auto"/>
        <w:rPr>
          <w:sz w:val="20"/>
          <w:szCs w:val="20"/>
          <w:color w:val="auto"/>
        </w:rPr>
      </w:pPr>
      <w:r>
        <w:rPr>
          <w:rFonts w:ascii="Times New Roman" w:cs="Times New Roman" w:eastAsia="Times New Roman" w:hAnsi="Times New Roman"/>
          <w:sz w:val="11"/>
          <w:szCs w:val="11"/>
          <w:color w:val="auto"/>
        </w:rPr>
        <w:t>The information furnished pursuant to this Item 7.01, including Exhibit 99.1, shall not be deemed “filed” for purposes of Section 18 of the Securities Exchange Act of 1934 (the “Exchange Act”) or otherwise subject to the liabilities under that Section and shall not be deemed to be incorporated by reference into any filing of the Company under the Securities Act of 1933 or the Exchange Act, except as shall be expressly set forth by specific reference in such filing.</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9.01. Financial Statements and Exhibits.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The following exhibits are being filed herewith:</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Exhibit</w:t>
            </w:r>
          </w:p>
        </w:tc>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76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20" w:type="dxa"/>
            <w:vAlign w:val="bottom"/>
          </w:tcPr>
          <w:p>
            <w:pPr>
              <w:spacing w:after="0"/>
              <w:rPr>
                <w:sz w:val="13"/>
                <w:szCs w:val="13"/>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8"/>
              </w:rPr>
              <w:t>Number</w:t>
            </w:r>
          </w:p>
        </w:tc>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7680" w:type="dxa"/>
            <w:vAlign w:val="bottom"/>
            <w:gridSpan w:val="2"/>
          </w:tcPr>
          <w:p>
            <w:pPr>
              <w:ind w:left="238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7"/>
        </w:trPr>
        <w:tc>
          <w:tcPr>
            <w:tcW w:w="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7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24"/>
        </w:trPr>
        <w:tc>
          <w:tcPr>
            <w:tcW w:w="1240" w:type="dxa"/>
            <w:vAlign w:val="bottom"/>
            <w:gridSpan w:val="2"/>
          </w:tcPr>
          <w:p>
            <w:pPr>
              <w:jc w:val="right"/>
              <w:ind w:right="440"/>
              <w:spacing w:after="0" w:line="124" w:lineRule="exact"/>
              <w:rPr>
                <w:sz w:val="20"/>
                <w:szCs w:val="20"/>
                <w:color w:val="auto"/>
              </w:rPr>
            </w:pPr>
            <w:r>
              <w:rPr>
                <w:rFonts w:ascii="Times New Roman" w:cs="Times New Roman" w:eastAsia="Times New Roman" w:hAnsi="Times New Roman"/>
                <w:sz w:val="12"/>
                <w:szCs w:val="12"/>
                <w:color w:val="auto"/>
              </w:rPr>
              <w:t>99.1</w:t>
            </w:r>
          </w:p>
        </w:tc>
        <w:tc>
          <w:tcPr>
            <w:tcW w:w="80" w:type="dxa"/>
            <w:vAlign w:val="bottom"/>
          </w:tcPr>
          <w:p>
            <w:pPr>
              <w:spacing w:after="0"/>
              <w:rPr>
                <w:sz w:val="10"/>
                <w:szCs w:val="10"/>
                <w:color w:val="auto"/>
              </w:rPr>
            </w:pPr>
          </w:p>
        </w:tc>
        <w:tc>
          <w:tcPr>
            <w:tcW w:w="9980" w:type="dxa"/>
            <w:vAlign w:val="bottom"/>
            <w:gridSpan w:val="4"/>
          </w:tcPr>
          <w:p>
            <w:pPr>
              <w:ind w:left="20"/>
              <w:spacing w:after="0" w:line="124" w:lineRule="exact"/>
              <w:rPr>
                <w:sz w:val="20"/>
                <w:szCs w:val="20"/>
                <w:color w:val="auto"/>
              </w:rPr>
            </w:pPr>
            <w:r>
              <w:rPr>
                <w:rFonts w:ascii="Times New Roman" w:cs="Times New Roman" w:eastAsia="Times New Roman" w:hAnsi="Times New Roman"/>
                <w:sz w:val="12"/>
                <w:szCs w:val="12"/>
                <w:color w:val="0000FF"/>
              </w:rPr>
              <w:t>Investor Presentation, dated November 3, 2026.</w:t>
            </w:r>
          </w:p>
        </w:tc>
      </w:tr>
      <w:tr>
        <w:trPr>
          <w:trHeight w:val="20"/>
        </w:trPr>
        <w:tc>
          <w:tcPr>
            <w:tcW w:w="1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7680" w:type="dxa"/>
            <w:vAlign w:val="bottom"/>
            <w:gridSpan w:val="2"/>
          </w:tcPr>
          <w:p>
            <w:pPr>
              <w:spacing w:after="0" w:line="20" w:lineRule="exact"/>
              <w:rPr>
                <w:sz w:val="1"/>
                <w:szCs w:val="1"/>
                <w:color w:val="auto"/>
              </w:rPr>
            </w:pPr>
          </w:p>
        </w:tc>
      </w:tr>
      <w:tr>
        <w:trPr>
          <w:trHeight w:val="196"/>
        </w:trPr>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color w:val="auto"/>
              </w:rPr>
              <w:t>104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1071"/>
        </w:trPr>
        <w:tc>
          <w:tcPr>
            <w:tcW w:w="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7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79" w:right="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320" w:type="dxa"/>
            <w:vAlign w:val="bottom"/>
          </w:tcPr>
          <w:p>
            <w:pPr>
              <w:spacing w:after="0"/>
              <w:rPr>
                <w:sz w:val="20"/>
                <w:szCs w:val="20"/>
                <w:color w:val="auto"/>
              </w:rPr>
            </w:pPr>
            <w:r>
              <w:rPr>
                <w:rFonts w:ascii="Times New Roman" w:cs="Times New Roman" w:eastAsia="Times New Roman" w:hAnsi="Times New Roman"/>
                <w:sz w:val="12"/>
                <w:szCs w:val="12"/>
                <w:color w:val="auto"/>
              </w:rPr>
              <w:t>Dated: November 3, 2026</w:t>
            </w:r>
          </w:p>
        </w:tc>
        <w:tc>
          <w:tcPr>
            <w:tcW w:w="7980" w:type="dxa"/>
            <w:vAlign w:val="bottom"/>
            <w:gridSpan w:val="2"/>
          </w:tcPr>
          <w:p>
            <w:pPr>
              <w:ind w:left="2060"/>
              <w:spacing w:after="0"/>
              <w:rPr>
                <w:sz w:val="20"/>
                <w:szCs w:val="20"/>
                <w:color w:val="auto"/>
              </w:rPr>
            </w:pPr>
            <w:r>
              <w:rPr>
                <w:rFonts w:ascii="Times New Roman" w:cs="Times New Roman" w:eastAsia="Times New Roman" w:hAnsi="Times New Roman"/>
                <w:sz w:val="12"/>
                <w:szCs w:val="12"/>
                <w:b w:val="1"/>
                <w:bCs w:val="1"/>
                <w:color w:val="auto"/>
              </w:rPr>
              <w:t>GXO LOGISTICS, INC.</w:t>
            </w:r>
          </w:p>
        </w:tc>
        <w:tc>
          <w:tcPr>
            <w:tcW w:w="0" w:type="dxa"/>
            <w:vAlign w:val="bottom"/>
          </w:tcPr>
          <w:p>
            <w:pPr>
              <w:spacing w:after="0"/>
              <w:rPr>
                <w:sz w:val="1"/>
                <w:szCs w:val="1"/>
                <w:color w:val="auto"/>
              </w:rPr>
            </w:pPr>
          </w:p>
        </w:tc>
      </w:tr>
      <w:tr>
        <w:trPr>
          <w:trHeight w:val="369"/>
        </w:trPr>
        <w:tc>
          <w:tcPr>
            <w:tcW w:w="3320" w:type="dxa"/>
            <w:vAlign w:val="bottom"/>
          </w:tcPr>
          <w:p>
            <w:pPr>
              <w:spacing w:after="0"/>
              <w:rPr>
                <w:sz w:val="24"/>
                <w:szCs w:val="24"/>
                <w:color w:val="auto"/>
              </w:rPr>
            </w:pPr>
          </w:p>
        </w:tc>
        <w:tc>
          <w:tcPr>
            <w:tcW w:w="2900" w:type="dxa"/>
            <w:vAlign w:val="bottom"/>
          </w:tcPr>
          <w:p>
            <w:pPr>
              <w:ind w:left="2060"/>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 Mark Suchinski</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900" w:type="dxa"/>
            <w:vAlign w:val="bottom"/>
            <w:vMerge w:val="restart"/>
          </w:tcPr>
          <w:p>
            <w:pPr>
              <w:ind w:left="2060"/>
              <w:spacing w:after="0"/>
              <w:rPr>
                <w:sz w:val="20"/>
                <w:szCs w:val="20"/>
                <w:color w:val="auto"/>
              </w:rPr>
            </w:pPr>
            <w:r>
              <w:rPr>
                <w:rFonts w:ascii="Times New Roman" w:cs="Times New Roman" w:eastAsia="Times New Roman" w:hAnsi="Times New Roman"/>
                <w:sz w:val="12"/>
                <w:szCs w:val="12"/>
                <w:color w:val="auto"/>
              </w:rPr>
              <w:t>Name:</w:t>
            </w:r>
          </w:p>
        </w:tc>
        <w:tc>
          <w:tcPr>
            <w:tcW w:w="5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3320" w:type="dxa"/>
            <w:vAlign w:val="bottom"/>
          </w:tcPr>
          <w:p>
            <w:pPr>
              <w:spacing w:after="0"/>
              <w:rPr>
                <w:sz w:val="13"/>
                <w:szCs w:val="13"/>
                <w:color w:val="auto"/>
              </w:rPr>
            </w:pPr>
          </w:p>
        </w:tc>
        <w:tc>
          <w:tcPr>
            <w:tcW w:w="2900" w:type="dxa"/>
            <w:vAlign w:val="bottom"/>
            <w:vMerge w:val="continue"/>
          </w:tcPr>
          <w:p>
            <w:pPr>
              <w:spacing w:after="0"/>
              <w:rPr>
                <w:sz w:val="13"/>
                <w:szCs w:val="13"/>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Mark Suchinski</w:t>
            </w:r>
          </w:p>
        </w:tc>
        <w:tc>
          <w:tcPr>
            <w:tcW w:w="0" w:type="dxa"/>
            <w:vAlign w:val="bottom"/>
          </w:tcPr>
          <w:p>
            <w:pPr>
              <w:spacing w:after="0"/>
              <w:rPr>
                <w:sz w:val="1"/>
                <w:szCs w:val="1"/>
                <w:color w:val="auto"/>
              </w:rPr>
            </w:pPr>
          </w:p>
        </w:tc>
      </w:tr>
      <w:tr>
        <w:trPr>
          <w:trHeight w:val="189"/>
        </w:trPr>
        <w:tc>
          <w:tcPr>
            <w:tcW w:w="3320" w:type="dxa"/>
            <w:vAlign w:val="bottom"/>
          </w:tcPr>
          <w:p>
            <w:pPr>
              <w:spacing w:after="0"/>
              <w:rPr>
                <w:sz w:val="16"/>
                <w:szCs w:val="16"/>
                <w:color w:val="auto"/>
              </w:rPr>
            </w:pPr>
          </w:p>
        </w:tc>
        <w:tc>
          <w:tcPr>
            <w:tcW w:w="2900" w:type="dxa"/>
            <w:vAlign w:val="bottom"/>
          </w:tcPr>
          <w:p>
            <w:pPr>
              <w:ind w:left="2060"/>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Financial Officer</w:t>
            </w:r>
          </w:p>
        </w:tc>
        <w:tc>
          <w:tcPr>
            <w:tcW w:w="0" w:type="dxa"/>
            <w:vAlign w:val="bottom"/>
          </w:tcPr>
          <w:p>
            <w:pPr>
              <w:spacing w:after="0"/>
              <w:rPr>
                <w:sz w:val="1"/>
                <w:szCs w:val="1"/>
                <w:color w:val="auto"/>
              </w:rPr>
            </w:pPr>
          </w:p>
        </w:tc>
      </w:tr>
      <w:tr>
        <w:trPr>
          <w:trHeight w:val="189"/>
        </w:trPr>
        <w:tc>
          <w:tcPr>
            <w:tcW w:w="33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300"/>
          </w:cols>
          <w:pgMar w:left="300" w:top="881" w:right="29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27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27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2026-11-03T16:04:01Z</dcterms:created>
  <dcterms:modified xsi:type="dcterms:W3CDTF">2026-11-03T16:04:01Z</dcterms:modified>
</cp:coreProperties>
</file>