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3160"/>
        <w:spacing w:after="0" w:line="203" w:lineRule="auto"/>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jc w:val="center"/>
        <w:ind w:right="-119"/>
        <w:spacing w:after="0" w:line="188" w:lineRule="auto"/>
        <w:rPr>
          <w:sz w:val="20"/>
          <w:szCs w:val="20"/>
          <w:color w:val="auto"/>
        </w:rPr>
      </w:pPr>
      <w:r>
        <w:rPr>
          <w:rFonts w:ascii="Times New Roman" w:cs="Times New Roman" w:eastAsia="Times New Roman" w:hAnsi="Times New Roman"/>
          <w:sz w:val="15"/>
          <w:szCs w:val="15"/>
          <w:b w:val="1"/>
          <w:bCs w:val="1"/>
          <w:color w:val="auto"/>
        </w:rPr>
        <w:t>FORM 10-Q</w:t>
      </w:r>
    </w:p>
    <w:p>
      <w:pPr>
        <w:ind w:left="3160"/>
        <w:spacing w:after="0" w:line="222" w:lineRule="auto"/>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3" w:lineRule="exact"/>
        <w:rPr>
          <w:sz w:val="24"/>
          <w:szCs w:val="24"/>
          <w:color w:val="auto"/>
        </w:rPr>
      </w:pPr>
    </w:p>
    <w:p>
      <w:pPr>
        <w:ind w:left="280" w:hanging="254"/>
        <w:spacing w:after="0"/>
        <w:tabs>
          <w:tab w:leader="none" w:pos="2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9" w:lineRule="exact"/>
        <w:rPr>
          <w:sz w:val="24"/>
          <w:szCs w:val="24"/>
          <w:color w:val="auto"/>
        </w:rPr>
      </w:pPr>
    </w:p>
    <w:p>
      <w:pPr>
        <w:ind w:left="280" w:hanging="254"/>
        <w:spacing w:after="0"/>
        <w:tabs>
          <w:tab w:leader="none" w:pos="2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001-40470</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5715</wp:posOffset>
            </wp:positionV>
            <wp:extent cx="9258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____________________________________________________________________________________________________________</w:t>
      </w:r>
    </w:p>
    <w:p>
      <w:pPr>
        <w:spacing w:after="0" w:line="41"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86-2098312</w:t>
            </w:r>
          </w:p>
        </w:tc>
      </w:tr>
      <w:tr>
        <w:trPr>
          <w:trHeight w:val="27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74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7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Two American Lane</w:t>
            </w:r>
          </w:p>
        </w:tc>
        <w:tc>
          <w:tcPr>
            <w:tcW w:w="4740" w:type="dxa"/>
            <w:vAlign w:val="bottom"/>
          </w:tcPr>
          <w:p>
            <w:pPr>
              <w:spacing w:after="0"/>
              <w:rPr>
                <w:sz w:val="23"/>
                <w:szCs w:val="23"/>
                <w:color w:val="auto"/>
              </w:rPr>
            </w:pPr>
          </w:p>
        </w:tc>
      </w:tr>
      <w:tr>
        <w:trPr>
          <w:trHeight w:val="27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Greenwich, Connecticut</w:t>
            </w:r>
          </w:p>
        </w:tc>
        <w:tc>
          <w:tcPr>
            <w:tcW w:w="47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7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74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(Zip Code)</w:t>
            </w:r>
          </w:p>
        </w:tc>
      </w:tr>
      <w:tr>
        <w:trPr>
          <w:trHeight w:val="324"/>
        </w:trPr>
        <w:tc>
          <w:tcPr>
            <w:tcW w:w="4360" w:type="dxa"/>
            <w:vAlign w:val="bottom"/>
          </w:tcPr>
          <w:p>
            <w:pPr>
              <w:spacing w:after="0"/>
              <w:rPr>
                <w:sz w:val="24"/>
                <w:szCs w:val="24"/>
                <w:color w:val="auto"/>
              </w:rPr>
            </w:pPr>
          </w:p>
        </w:tc>
        <w:tc>
          <w:tcPr>
            <w:tcW w:w="4740" w:type="dxa"/>
            <w:vAlign w:val="bottom"/>
          </w:tcPr>
          <w:p>
            <w:pPr>
              <w:jc w:val="right"/>
              <w:ind w:right="3470"/>
              <w:spacing w:after="0"/>
              <w:rPr>
                <w:sz w:val="20"/>
                <w:szCs w:val="20"/>
                <w:color w:val="auto"/>
              </w:rPr>
            </w:pPr>
            <w:r>
              <w:rPr>
                <w:rFonts w:ascii="Times New Roman" w:cs="Times New Roman" w:eastAsia="Times New Roman" w:hAnsi="Times New Roman"/>
                <w:sz w:val="18"/>
                <w:szCs w:val="18"/>
                <w:b w:val="1"/>
                <w:bCs w:val="1"/>
                <w:color w:val="auto"/>
              </w:rPr>
              <w:t>(203) 489-1287</w:t>
            </w:r>
          </w:p>
        </w:tc>
      </w:tr>
    </w:tbl>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513"/>
        </w:trPr>
        <w:tc>
          <w:tcPr>
            <w:tcW w:w="80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8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GXO</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800" w:type="dxa"/>
            <w:vAlign w:val="bottom"/>
          </w:tcPr>
          <w:p>
            <w:pPr>
              <w:spacing w:after="0"/>
              <w:rPr>
                <w:sz w:val="23"/>
                <w:szCs w:val="23"/>
                <w:color w:val="auto"/>
              </w:rPr>
            </w:pPr>
          </w:p>
        </w:tc>
        <w:tc>
          <w:tcPr>
            <w:tcW w:w="3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3.750% Notes due 2030</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GXO/30</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46"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60" w:type="dxa"/>
        <w:tblCellMar>
          <w:top w:w="0" w:type="dxa"/>
          <w:left w:w="0" w:type="dxa"/>
          <w:bottom w:w="0" w:type="dxa"/>
          <w:right w:w="0" w:type="dxa"/>
        </w:tblCellMar>
      </w:tblPr>
      <w:tr>
        <w:trPr>
          <w:trHeight w:val="30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2, 2026, there were 113,029,173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6" w:right="459" w:bottom="1440" w:gutter="0" w:footer="0" w:header="0"/>
        </w:sectPr>
      </w:pPr>
    </w:p>
    <w:bookmarkStart w:id="1" w:name="page2"/>
    <w:bookmarkEnd w:id="1"/>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13"/>
        </w:trPr>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3051F2"/>
              </w:rPr>
              <w:t>Part I—Financial Information</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940" w:type="dxa"/>
            <w:vAlign w:val="bottom"/>
            <w:gridSpan w:val="2"/>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Financial Statements (Unaudited)</w:t>
            </w:r>
          </w:p>
        </w:tc>
        <w:tc>
          <w:tcPr>
            <w:tcW w:w="5780" w:type="dxa"/>
            <w:vAlign w:val="bottom"/>
            <w:gridSpan w:val="9"/>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80" w:type="dxa"/>
            <w:vAlign w:val="bottom"/>
            <w:gridSpan w:val="7"/>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rPr>
              <w:t>3</w:t>
            </w: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640" w:type="dxa"/>
            <w:vAlign w:val="bottom"/>
            <w:tcBorders>
              <w:top w:val="single" w:sz="8" w:color="0000FF"/>
            </w:tcBorders>
            <w:gridSpan w:val="5"/>
          </w:tcPr>
          <w:p>
            <w:pPr>
              <w:spacing w:after="0"/>
              <w:rPr>
                <w:sz w:val="18"/>
                <w:szCs w:val="18"/>
                <w:color w:val="auto"/>
              </w:rPr>
            </w:pPr>
          </w:p>
        </w:tc>
        <w:tc>
          <w:tcPr>
            <w:tcW w:w="396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820" w:type="dxa"/>
            <w:vAlign w:val="bottom"/>
            <w:gridSpan w:val="6"/>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w:t>
            </w:r>
          </w:p>
        </w:tc>
        <w:tc>
          <w:tcPr>
            <w:tcW w:w="4340" w:type="dxa"/>
            <w:vAlign w:val="bottom"/>
            <w:gridSpan w:val="4"/>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540" w:type="dxa"/>
            <w:vAlign w:val="bottom"/>
            <w:gridSpan w:val="5"/>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7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21</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30</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3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60" w:type="dxa"/>
            <w:vAlign w:val="bottom"/>
            <w:gridSpan w:val="2"/>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30</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16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b w:val="1"/>
                <w:bCs w:val="1"/>
                <w:color w:val="3051F2"/>
                <w:w w:val="99"/>
              </w:rPr>
              <w:t>Part II—Other Information</w:t>
            </w:r>
          </w:p>
        </w:tc>
        <w:tc>
          <w:tcPr>
            <w:tcW w:w="6820" w:type="dxa"/>
            <w:vAlign w:val="bottom"/>
            <w:gridSpan w:val="12"/>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31</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300" w:type="dxa"/>
            <w:vAlign w:val="bottom"/>
          </w:tcPr>
          <w:p>
            <w:pPr>
              <w:spacing w:after="0"/>
              <w:rPr>
                <w:sz w:val="18"/>
                <w:szCs w:val="18"/>
                <w:color w:val="auto"/>
              </w:rPr>
            </w:pPr>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31</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00" w:type="dxa"/>
            <w:vAlign w:val="bottom"/>
            <w:gridSpan w:val="1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2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31</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40" w:type="dxa"/>
            <w:vAlign w:val="bottom"/>
            <w:gridSpan w:val="13"/>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gridSpan w:val="13"/>
          </w:tcPr>
          <w:p>
            <w:pPr>
              <w:spacing w:after="0"/>
              <w:rPr>
                <w:sz w:val="18"/>
                <w:szCs w:val="18"/>
                <w:color w:val="auto"/>
              </w:rPr>
            </w:pPr>
          </w:p>
        </w:tc>
        <w:tc>
          <w:tcPr>
            <w:tcW w:w="3860" w:type="dxa"/>
            <w:vAlign w:val="bottom"/>
            <w:gridSpan w:val="2"/>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32</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80" w:type="dxa"/>
            <w:vAlign w:val="bottom"/>
            <w:gridSpan w:val="2"/>
          </w:tcPr>
          <w:p>
            <w:pPr>
              <w:jc w:val="center"/>
              <w:ind w:left="1712"/>
              <w:spacing w:after="0"/>
              <w:rPr>
                <w:sz w:val="20"/>
                <w:szCs w:val="20"/>
                <w:color w:val="auto"/>
              </w:rPr>
            </w:pPr>
            <w:r>
              <w:rPr>
                <w:rFonts w:ascii="Times New Roman" w:cs="Times New Roman" w:eastAsia="Times New Roman" w:hAnsi="Times New Roman"/>
                <w:sz w:val="18"/>
                <w:szCs w:val="18"/>
                <w:color w:val="0000FF"/>
                <w:w w:val="99"/>
              </w:rPr>
              <w:t>33</w:t>
            </w:r>
          </w:p>
        </w:tc>
        <w:tc>
          <w:tcPr>
            <w:tcW w:w="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GXO Logistics, Inc.</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80" w:type="dxa"/>
            <w:vAlign w:val="bottom"/>
            <w:gridSpan w:val="7"/>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shares in thousands, except per share amounts)</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20" w:type="dxa"/>
            <w:vAlign w:val="bottom"/>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operating expense</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Regulatory matter</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20" w:type="dxa"/>
            <w:vAlign w:val="bottom"/>
          </w:tcPr>
          <w:p>
            <w:pPr>
              <w:spacing w:after="0"/>
              <w:rPr>
                <w:sz w:val="23"/>
                <w:szCs w:val="23"/>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on divestiture of business</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 (“NCI”)</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GXO</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56"/>
        </w:trPr>
        <w:tc>
          <w:tcPr>
            <w:tcW w:w="20" w:type="dxa"/>
            <w:vAlign w:val="bottom"/>
          </w:tcPr>
          <w:p>
            <w:pPr>
              <w:spacing w:after="0"/>
              <w:rPr>
                <w:sz w:val="22"/>
                <w:szCs w:val="22"/>
                <w:color w:val="auto"/>
              </w:rPr>
            </w:pPr>
          </w:p>
        </w:tc>
        <w:tc>
          <w:tcPr>
            <w:tcW w:w="596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64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Weighted-average shares outstanding used in computation of earnings (loss)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116,075</w:t>
            </w:r>
          </w:p>
        </w:tc>
      </w:tr>
      <w:tr>
        <w:trPr>
          <w:trHeight w:val="234"/>
        </w:trPr>
        <w:tc>
          <w:tcPr>
            <w:tcW w:w="2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116,075</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r>
      <w:tr>
        <w:trPr>
          <w:trHeight w:val="228"/>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0"/>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flow hedges</w:t>
            </w:r>
          </w:p>
        </w:tc>
        <w:tc>
          <w:tcPr>
            <w:tcW w:w="86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hedges</w:t>
            </w: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1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Pension plans</w:t>
            </w:r>
          </w:p>
        </w:tc>
        <w:tc>
          <w:tcPr>
            <w:tcW w:w="8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6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8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NCI</w:t>
            </w:r>
          </w:p>
        </w:tc>
        <w:tc>
          <w:tcPr>
            <w:tcW w:w="8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GXO</w:t>
            </w: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(Dollars in millions, shares in thousands, except per share amounts)</w:t>
            </w:r>
          </w:p>
        </w:tc>
        <w:tc>
          <w:tcPr>
            <w:tcW w:w="240" w:type="dxa"/>
            <w:vAlign w:val="bottom"/>
          </w:tcPr>
          <w:p>
            <w:pPr>
              <w:spacing w:after="0"/>
              <w:rPr>
                <w:sz w:val="20"/>
                <w:szCs w:val="20"/>
                <w:color w:val="auto"/>
              </w:rPr>
            </w:pPr>
          </w:p>
        </w:tc>
        <w:tc>
          <w:tcPr>
            <w:tcW w:w="164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16"/>
        </w:trPr>
        <w:tc>
          <w:tcPr>
            <w:tcW w:w="73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Accounts receivable, net of allowance of $14 and $15</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r>
      <w:tr>
        <w:trPr>
          <w:trHeight w:val="216"/>
        </w:trPr>
        <w:tc>
          <w:tcPr>
            <w:tcW w:w="7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09"/>
        </w:trPr>
        <w:tc>
          <w:tcPr>
            <w:tcW w:w="73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3,288</w:t>
            </w:r>
          </w:p>
        </w:tc>
      </w:tr>
      <w:tr>
        <w:trPr>
          <w:trHeight w:val="19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assets</w:t>
            </w: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6"/>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Property and equipment, net of accumulated depreciation of $2,270 and $2,126</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w:t>
            </w: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r>
      <w:tr>
        <w:trPr>
          <w:trHeight w:val="216"/>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w:t>
            </w: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Intangible assets, net of accumulated amortization of $851 and $781</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r>
      <w:tr>
        <w:trPr>
          <w:trHeight w:val="216"/>
        </w:trPr>
        <w:tc>
          <w:tcPr>
            <w:tcW w:w="73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Other long-term assets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w:t>
            </w:r>
          </w:p>
        </w:tc>
      </w:tr>
      <w:tr>
        <w:trPr>
          <w:trHeight w:val="210"/>
        </w:trPr>
        <w:tc>
          <w:tcPr>
            <w:tcW w:w="7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b w:val="1"/>
                <w:bCs w:val="1"/>
                <w:color w:val="auto"/>
              </w:rPr>
              <w:t>Total long-term assets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209"/>
        </w:trPr>
        <w:tc>
          <w:tcPr>
            <w:tcW w:w="7360" w:type="dxa"/>
            <w:vAlign w:val="bottom"/>
            <w:gridSpan w:val="2"/>
          </w:tcPr>
          <w:p>
            <w:pPr>
              <w:ind w:left="8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12,262</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3"/>
        </w:trPr>
        <w:tc>
          <w:tcPr>
            <w:tcW w:w="736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16"/>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w:t>
            </w: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Current debt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16"/>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r>
      <w:tr>
        <w:trPr>
          <w:trHeight w:val="210"/>
        </w:trPr>
        <w:tc>
          <w:tcPr>
            <w:tcW w:w="736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3,875</w:t>
            </w:r>
          </w:p>
        </w:tc>
      </w:tr>
      <w:tr>
        <w:trPr>
          <w:trHeight w:val="19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6"/>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2,619</w:t>
            </w: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16"/>
        </w:trPr>
        <w:tc>
          <w:tcPr>
            <w:tcW w:w="73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209"/>
        </w:trPr>
        <w:tc>
          <w:tcPr>
            <w:tcW w:w="7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b w:val="1"/>
                <w:bCs w:val="1"/>
                <w:color w:val="auto"/>
              </w:rPr>
              <w:t>Total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5,372</w:t>
            </w:r>
          </w:p>
        </w:tc>
      </w:tr>
      <w:tr>
        <w:trPr>
          <w:trHeight w:val="19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13)</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62"/>
        </w:trPr>
        <w:tc>
          <w:tcPr>
            <w:tcW w:w="736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7"/>
                <w:szCs w:val="17"/>
                <w:color w:val="auto"/>
              </w:rPr>
              <w:t>Common stock, $0.01 par value per share; 300,000 shares authorized, 120,490 and 119,868 shares</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issued and 113,026 and 114,512 shares outstanding, respectively</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8"/>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Treasury stock, at cost; 7,464 and 5,356 shares, respectively</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16"/>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Preferred stock, $0.01 par value per share; 10,000 shares authorized, none issued and outstanding</w:t>
            </w:r>
          </w:p>
        </w:tc>
        <w:tc>
          <w:tcPr>
            <w:tcW w:w="2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Additional Paid-In Capital (“APIC”)</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r>
      <w:tr>
        <w:trPr>
          <w:trHeight w:val="216"/>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r>
      <w:tr>
        <w:trPr>
          <w:trHeight w:val="216"/>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Accumulated Other Comprehensive Income (Loss) (“AOCIL”)</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09"/>
        </w:trPr>
        <w:tc>
          <w:tcPr>
            <w:tcW w:w="736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Total stockholders’ equity before NCI</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2,983</w:t>
            </w:r>
          </w:p>
        </w:tc>
      </w:tr>
      <w:tr>
        <w:trPr>
          <w:trHeight w:val="210"/>
        </w:trPr>
        <w:tc>
          <w:tcPr>
            <w:tcW w:w="7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NCI</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0"/>
        </w:trPr>
        <w:tc>
          <w:tcPr>
            <w:tcW w:w="736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w:t>
            </w:r>
          </w:p>
        </w:tc>
      </w:tr>
      <w:tr>
        <w:trPr>
          <w:trHeight w:val="235"/>
        </w:trPr>
        <w:tc>
          <w:tcPr>
            <w:tcW w:w="73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(loss) to net cash provided by operating activities</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3"/>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tax benefit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3"/>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33"/>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the sale of property and equipment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in connection with divestiture</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Cross-currency swap agreements settlement</w:t>
            </w:r>
          </w:p>
        </w:tc>
        <w:tc>
          <w:tcPr>
            <w:tcW w:w="20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6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repurchased and excise tax paid</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3"/>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borrowings under revolving credit facilities</w:t>
            </w:r>
          </w:p>
        </w:tc>
        <w:tc>
          <w:tcPr>
            <w:tcW w:w="20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long-term and other debt</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3"/>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Repayments of finance lease obligations</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Obligations under factoring arrangements</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3"/>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 cash, restricted cash and cash equivalents</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restricted cash and cash equivalents, beginning of period</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68"/>
        </w:trPr>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restricted cash and cash equivalents,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90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Excise tax liability related to stock repurchases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1"/>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restricted cash and cash equivalents</w:t>
            </w:r>
          </w:p>
        </w:tc>
        <w:tc>
          <w:tcPr>
            <w:tcW w:w="200" w:type="dxa"/>
            <w:vAlign w:val="bottom"/>
          </w:tcPr>
          <w:p>
            <w:pPr>
              <w:spacing w:after="0"/>
              <w:rPr>
                <w:sz w:val="24"/>
                <w:szCs w:val="24"/>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24"/>
                <w:szCs w:val="24"/>
                <w:color w:val="auto"/>
              </w:rPr>
            </w:pPr>
          </w:p>
        </w:tc>
        <w:tc>
          <w:tcPr>
            <w:tcW w:w="1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43"/>
        </w:trPr>
        <w:tc>
          <w:tcPr>
            <w:tcW w:w="69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68"/>
        </w:trPr>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restricted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0940"/>
          </w:cols>
          <w:pgMar w:left="480" w:top="141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13" w:right="4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(Shares in thousands,</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Equity Before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APIC</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AOCIL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NCI</w:t>
            </w: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NCI</w:t>
            </w:r>
          </w:p>
        </w:tc>
        <w:tc>
          <w:tcPr>
            <w:tcW w:w="180" w:type="dxa"/>
            <w:vAlign w:val="bottom"/>
          </w:tcPr>
          <w:p>
            <w:pPr>
              <w:spacing w:after="0"/>
              <w:rPr>
                <w:sz w:val="14"/>
                <w:szCs w:val="14"/>
                <w:color w:val="auto"/>
              </w:rPr>
            </w:pPr>
          </w:p>
        </w:tc>
        <w:tc>
          <w:tcPr>
            <w:tcW w:w="70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114,770</w:t>
            </w:r>
          </w:p>
        </w:tc>
        <w:tc>
          <w:tcPr>
            <w:tcW w:w="4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(223)</w:t>
            </w:r>
          </w:p>
        </w:tc>
        <w:tc>
          <w:tcPr>
            <w:tcW w:w="300" w:type="dxa"/>
            <w:vAlign w:val="bottom"/>
            <w:tcBorders>
              <w:bottom w:val="single" w:sz="8" w:color="CCEEFF"/>
            </w:tcBorders>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w w:val="99"/>
              </w:rPr>
              <w:t>16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w:t>
            </w: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plans and exercises</w:t>
            </w: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stock options</w:t>
            </w: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 withholding on vesting of</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Dividends to NCI</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113,026</w:t>
            </w: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20"/>
                <w:szCs w:val="20"/>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(303)</w:t>
            </w:r>
          </w:p>
        </w:tc>
        <w:tc>
          <w:tcPr>
            <w:tcW w:w="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6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(207)</w:t>
            </w:r>
          </w:p>
        </w:tc>
        <w:tc>
          <w:tcPr>
            <w:tcW w:w="30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20" w:type="dxa"/>
            <w:vAlign w:val="bottom"/>
          </w:tcPr>
          <w:p>
            <w:pPr>
              <w:spacing w:after="0"/>
              <w:rPr>
                <w:sz w:val="24"/>
                <w:szCs w:val="24"/>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(Shares in thousands,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Equity Before</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4"/>
                <w:szCs w:val="14"/>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APIC</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AOCIL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NCI</w:t>
            </w: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NCI</w:t>
            </w:r>
          </w:p>
        </w:tc>
        <w:tc>
          <w:tcPr>
            <w:tcW w:w="180" w:type="dxa"/>
            <w:vAlign w:val="bottom"/>
          </w:tcPr>
          <w:p>
            <w:pPr>
              <w:spacing w:after="0"/>
              <w:rPr>
                <w:sz w:val="14"/>
                <w:szCs w:val="14"/>
                <w:color w:val="auto"/>
              </w:rPr>
            </w:pPr>
          </w:p>
        </w:tc>
        <w:tc>
          <w:tcPr>
            <w:tcW w:w="70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114,512</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7"/>
              </w:rPr>
              <w:t>(6)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under</w:t>
            </w: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plans and exercises</w:t>
            </w: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Tax withholding on vesting of</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repurchased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Dividends to NCI</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113,026</w:t>
            </w:r>
          </w:p>
        </w:tc>
        <w:tc>
          <w:tcPr>
            <w:tcW w:w="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97"/>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6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(207)</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(Shares in thousands,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Equity Before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6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APIC</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AOCIL</w:t>
            </w:r>
          </w:p>
        </w:tc>
        <w:tc>
          <w:tcPr>
            <w:tcW w:w="2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NCI</w:t>
            </w:r>
          </w:p>
        </w:tc>
        <w:tc>
          <w:tcPr>
            <w:tcW w:w="22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NCI</w:t>
            </w:r>
          </w:p>
        </w:tc>
        <w:tc>
          <w:tcPr>
            <w:tcW w:w="180" w:type="dxa"/>
            <w:vAlign w:val="bottom"/>
          </w:tcPr>
          <w:p>
            <w:pPr>
              <w:spacing w:after="0"/>
              <w:rPr>
                <w:sz w:val="14"/>
                <w:szCs w:val="14"/>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114,452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0" w:type="dxa"/>
            <w:vAlign w:val="bottom"/>
          </w:tcPr>
          <w:p>
            <w:pPr>
              <w:spacing w:after="0"/>
              <w:rPr>
                <w:sz w:val="1"/>
                <w:szCs w:val="1"/>
                <w:color w:val="auto"/>
              </w:rPr>
            </w:pPr>
          </w:p>
        </w:tc>
      </w:tr>
      <w:tr>
        <w:trPr>
          <w:trHeight w:val="18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plans and exercises</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stock options</w:t>
            </w: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withholding on vesting of</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NCI</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114,486</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(Shares 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Equity Before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6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APIC</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AOCIL</w:t>
            </w:r>
          </w:p>
        </w:tc>
        <w:tc>
          <w:tcPr>
            <w:tcW w:w="2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NCI</w:t>
            </w:r>
          </w:p>
        </w:tc>
        <w:tc>
          <w:tcPr>
            <w:tcW w:w="22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NCI</w:t>
            </w:r>
          </w:p>
        </w:tc>
        <w:tc>
          <w:tcPr>
            <w:tcW w:w="180" w:type="dxa"/>
            <w:vAlign w:val="bottom"/>
          </w:tcPr>
          <w:p>
            <w:pPr>
              <w:spacing w:after="0"/>
              <w:rPr>
                <w:sz w:val="14"/>
                <w:szCs w:val="14"/>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119,496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0" w:type="dxa"/>
            <w:vAlign w:val="bottom"/>
          </w:tcPr>
          <w:p>
            <w:pPr>
              <w:spacing w:after="0"/>
              <w:rPr>
                <w:sz w:val="1"/>
                <w:szCs w:val="1"/>
                <w:color w:val="auto"/>
              </w:rPr>
            </w:pPr>
          </w:p>
        </w:tc>
      </w:tr>
      <w:tr>
        <w:trPr>
          <w:trHeight w:val="18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220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7"/>
        </w:trPr>
        <w:tc>
          <w:tcPr>
            <w:tcW w:w="22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plans and exercises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stock options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withholding on vesting of</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22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9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to NCI</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2200" w:type="dxa"/>
            <w:vAlign w:val="bottom"/>
            <w:tcBorders>
              <w:bottom w:val="single" w:sz="8" w:color="CCEEFF"/>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114,486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GXO Logistics, Inc. (“GXO” or the “Company”) have been prepared in accordance with generally accepted accounting principles in the United States of America (“GAAP”) for interim financial information and pursuant to the rules of the United States Securities and Exchange Commission (the “SEC”). Accordingly, they do not include all of the information and notes required by GAAP for complete financial statements. In the opinion of management, all normal recurring accruals and adjustments considered necessary for a fair presentation of financial position, results of operations and cash flows at the dates and for the periods presented herein have been included. The Consolidated Balance Sheet as of December 31, 2025, was derived from audited annual financial statements as of that date. Operating results for interim periods are not necessarily indicative of full-year results. The accompanying Condensed Consolidated Financial Statements and Notes thereto should be read in conjunction with the Annual Report on Form 10-K for the year ended December 31,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presents its operations as one reportable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GXO and its majority-owned subsidiaries and variable interest entities of which the Company is the primary beneficiary. The Company has eliminated intercompany balances and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requires management to make estimates and assumptions about future events. Management believes its use of estimates in these interim Condensed Consolidated Financial Statements to be reasonable.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standard requires all public companies to disclose more detailed information about certain costs and expenses in the notes to the financial statements in interim and annual reporting periods. This update will be effective for annual periods beginning after December 15, 2026, and interim periods beginning after December 15, 2027. Early adoption is permitted. The Company is currently evaluating the impact of adopting this standard on its disclosures.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Goodwill and Other- Internal-Use Software (Subtopic 350-40): Targeted Improvements to the Accounting for Internal-Use Software. The amendments in this update remove all references to prescriptive and sequential software development stages (referred to as “project stages”) throughout Subtopic 350-40. Therefore, an entity is required to start capitalizing software costs when certain capitalization criteria are met. The ASU also supersedes guidance on website development costs. The amendments are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this standard on its results of operations, financial position or cash flows, and the impact of adopting this standard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disaggregated by geographical area was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The Company’s revenue can also be disaggregated by various verticals, reflecting the customers’ principal industry. Revenue disaggregated by industry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2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Omnichannel retail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and consumer electronics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manufacturing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CCEEFF"/>
            </w:tcBorders>
          </w:tcPr>
          <w:p>
            <w:pPr>
              <w:spacing w:after="0"/>
              <w:rPr>
                <w:sz w:val="24"/>
                <w:szCs w:val="24"/>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10,329</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1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contract asset and contract liability balances from contracts with customers were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contract costs included 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included in:</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Contract liabilities represent the Company’s obligation to transfer services to a customer for which the Company has received consideration, or the amount due from a customer before the related services have been transferred.</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Revenue recognized included in contract liabilities at the beginning of the period was $15 million and $46 million for the three months ended September 30, 2026 and 2025, respectively, and $244 million and $267 million for the nine months ended September 30, 2026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organized geographically into three operating segments: (i) Americas and Asia-Pacific, (ii) United Kingdom and Ireland, and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Europe. The Company’s reporting unit results are regularly provided to the Chief Operating Decision Maker (“CODM”). The CODM is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who assesses the Company’s performance and allocates resources.</w:t>
      </w:r>
    </w:p>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CODM evaluates the Company’s performance and allocates resources primarily based on earnings before interest, taxes, depreciation and amortization, adjusted for transaction and integration costs, restructuring costs and other, regulatory matters, net loss on divestiture of business and unrealized gain/loss on foreign currency contracts (“Adjusted EBITDA”). The CODM uses Adjusted EBITDA to communicate performance targets to the segment managers, to allocate resources to the segments, and to monitor segment performance. Additionally, the CODM considers the performance of this measure against planned and forecasted amounts to make investing and resource allocation decisions. The actual results are used in assessing the performance of the Company and in establishing management’s compensation.</w:t>
      </w:r>
    </w:p>
    <w:p>
      <w:pPr>
        <w:spacing w:after="0" w:line="21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disclosure purposes, we aggregate these three operating segments into one reportable segment due to the similar nature of their operations and economic characteristics.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segment results were as follows: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3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operating expense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(2)(3)</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matter</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on divestiture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foreign currency contracts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unallocated corporate expenses.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net, excluding unrealized (gain) loss on foreign currency contracts.</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1" w:name="page12"/>
    <w:bookmarkEnd w:id="11"/>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income/expense, net in the Condensed Consolidated Statements of Operations.</w:t>
      </w:r>
    </w:p>
    <w:p>
      <w:pPr>
        <w:spacing w:after="0" w:line="27" w:lineRule="exact"/>
        <w:rPr>
          <w:rFonts w:ascii="Times New Roman" w:cs="Times New Roman" w:eastAsia="Times New Roman" w:hAnsi="Times New Roman"/>
          <w:sz w:val="14"/>
          <w:szCs w:val="14"/>
          <w:color w:val="auto"/>
        </w:rPr>
      </w:pPr>
    </w:p>
    <w:p>
      <w:pPr>
        <w:ind w:left="260" w:right="60" w:hanging="252"/>
        <w:spacing w:after="0" w:line="283" w:lineRule="auto"/>
        <w:tabs>
          <w:tab w:leader="none" w:pos="22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expenses include unallocated costs related to corporate functions such as salaries and benefits, rent, and professional fees, which are recorded in Selling, general and administrative expenses in the Condensed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operating and finance leases primarily for real estate and warehouse equipment. The Company determines whether an arrangement is a lease at inception and, if so, whether that lease meets the classification criteria for a finance or an operating lease at the commencement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 recorded in the Condensed Consolidated Statements of Operations was as follows: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the right-of-use assets</w:t>
            </w:r>
            <w:r>
              <w:rPr>
                <w:rFonts w:ascii="Times New Roman" w:cs="Times New Roman" w:eastAsia="Times New Roman" w:hAnsi="Times New Roman"/>
                <w:sz w:val="23"/>
                <w:szCs w:val="23"/>
                <w:color w:val="auto"/>
                <w:vertAlign w:val="superscript"/>
              </w:rPr>
              <w:t>(2)</w:t>
            </w: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Interest on the lease liabilities</w:t>
            </w:r>
            <w:r>
              <w:rPr>
                <w:rFonts w:ascii="Times New Roman" w:cs="Times New Roman" w:eastAsia="Times New Roman" w:hAnsi="Times New Roman"/>
                <w:sz w:val="23"/>
                <w:szCs w:val="23"/>
                <w:color w:val="auto"/>
                <w:vertAlign w:val="superscript"/>
              </w:rPr>
              <w:t>(3)</w:t>
            </w:r>
          </w:p>
        </w:tc>
        <w:tc>
          <w:tcPr>
            <w:tcW w:w="8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8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(1)</w:t>
            </w:r>
          </w:p>
        </w:tc>
        <w:tc>
          <w:tcPr>
            <w:tcW w:w="8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6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r>
              <w:rPr>
                <w:rFonts w:ascii="Times New Roman" w:cs="Times New Roman" w:eastAsia="Times New Roman" w:hAnsi="Times New Roman"/>
                <w:sz w:val="23"/>
                <w:szCs w:val="23"/>
                <w:color w:val="auto"/>
                <w:vertAlign w:val="superscript"/>
              </w:rPr>
              <w:t>(4)</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2"/>
                <w:szCs w:val="22"/>
                <w:color w:val="auto"/>
              </w:rPr>
            </w:pP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variable, and short-term lease costs are primarily included in Direct operating expense in the Condensed Consolidated Statements of Operations.</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right-of-use assets is included in Depreciation and amortization expense in the Condensed Consolidated Statements of Operations.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the lease liabilities is included in Interest expense, net in the Condensed Consolidated Statements of Operations.</w:t>
      </w:r>
    </w:p>
    <w:p>
      <w:pPr>
        <w:spacing w:after="0" w:line="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lease cost excludes sublease income for all periods presented, as it was not material.</w:t>
      </w:r>
    </w:p>
    <w:p>
      <w:pPr>
        <w:spacing w:after="0" w:line="24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recorded a net benefit of $30 million, from a real estate transaction that resulted in an early termination of a lease.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leases: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13"/>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0" w:type="dxa"/>
            <w:vAlign w:val="bottom"/>
          </w:tcPr>
          <w:p>
            <w:pPr>
              <w:spacing w:after="0"/>
              <w:rPr>
                <w:sz w:val="23"/>
                <w:szCs w:val="23"/>
                <w:color w:val="auto"/>
              </w:rPr>
            </w:pP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23"/>
                <w:szCs w:val="23"/>
                <w:color w:val="auto"/>
              </w:rPr>
            </w:pPr>
          </w:p>
        </w:tc>
        <w:tc>
          <w:tcPr>
            <w:tcW w:w="15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3"/>
        </w:trPr>
        <w:tc>
          <w:tcPr>
            <w:tcW w:w="20" w:type="dxa"/>
            <w:vAlign w:val="bottom"/>
          </w:tcPr>
          <w:p>
            <w:pPr>
              <w:spacing w:after="0"/>
              <w:rPr>
                <w:sz w:val="21"/>
                <w:szCs w:val="21"/>
                <w:color w:val="auto"/>
              </w:rPr>
            </w:pPr>
          </w:p>
        </w:tc>
        <w:tc>
          <w:tcPr>
            <w:tcW w:w="7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7"/>
        </w:trPr>
        <w:tc>
          <w:tcPr>
            <w:tcW w:w="20" w:type="dxa"/>
            <w:vAlign w:val="bottom"/>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95"/>
        </w:trPr>
        <w:tc>
          <w:tcPr>
            <w:tcW w:w="20" w:type="dxa"/>
            <w:vAlign w:val="bottom"/>
          </w:tcPr>
          <w:p>
            <w:pPr>
              <w:spacing w:after="0"/>
              <w:rPr>
                <w:sz w:val="24"/>
                <w:szCs w:val="24"/>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included in 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liabilities included in Current debt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20" w:type="dxa"/>
            <w:vAlign w:val="bottom"/>
          </w:tcPr>
          <w:p>
            <w:pPr>
              <w:spacing w:after="0"/>
              <w:rPr>
                <w:sz w:val="21"/>
                <w:szCs w:val="21"/>
                <w:color w:val="auto"/>
              </w:rPr>
            </w:pPr>
          </w:p>
        </w:tc>
        <w:tc>
          <w:tcPr>
            <w:tcW w:w="7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 liabilities included in Long-term debt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20" w:type="dxa"/>
            <w:vAlign w:val="bottom"/>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30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36830</wp:posOffset>
            </wp:positionV>
            <wp:extent cx="2443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7"/>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for the nine months ended September 30, 2026: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1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identifiable intangible assets subject to amortization: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6"/>
                <w:szCs w:val="16"/>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08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 amortization expense was $27 million and $31 million for the three months ended September 30, 2026 and 2025, respectively, and $84 million and $90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 Debt and Financing Arrangements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 of the Company’s debt: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3"/>
                <w:szCs w:val="23"/>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94"/>
        </w:trPr>
        <w:tc>
          <w:tcPr>
            <w:tcW w:w="40" w:type="dxa"/>
            <w:vAlign w:val="bottom"/>
          </w:tcPr>
          <w:p>
            <w:pPr>
              <w:spacing w:after="0"/>
              <w:rPr>
                <w:sz w:val="24"/>
                <w:szCs w:val="24"/>
                <w:color w:val="auto"/>
              </w:rPr>
            </w:pP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percentages)</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6"/>
        </w:trPr>
        <w:tc>
          <w:tcPr>
            <w:tcW w:w="4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 due 2026</w:t>
            </w:r>
          </w:p>
        </w:tc>
        <w:tc>
          <w:tcPr>
            <w:tcW w:w="1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1.65 %  $</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4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 due 2029</w:t>
            </w:r>
            <w:r>
              <w:rPr>
                <w:rFonts w:ascii="Times New Roman" w:cs="Times New Roman" w:eastAsia="Times New Roman" w:hAnsi="Times New Roman"/>
                <w:sz w:val="23"/>
                <w:szCs w:val="23"/>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70"/>
        </w:trPr>
        <w:tc>
          <w:tcPr>
            <w:tcW w:w="4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 due 2031</w:t>
            </w:r>
            <w:r>
              <w:rPr>
                <w:rFonts w:ascii="Times New Roman" w:cs="Times New Roman" w:eastAsia="Times New Roman" w:hAnsi="Times New Roman"/>
                <w:sz w:val="23"/>
                <w:szCs w:val="23"/>
                <w:color w:val="auto"/>
                <w:vertAlign w:val="superscript"/>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0"/>
        </w:trPr>
        <w:tc>
          <w:tcPr>
            <w:tcW w:w="4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 due 2034</w:t>
            </w:r>
            <w:r>
              <w:rPr>
                <w:rFonts w:ascii="Times New Roman" w:cs="Times New Roman" w:eastAsia="Times New Roman" w:hAnsi="Times New Roman"/>
                <w:sz w:val="23"/>
                <w:szCs w:val="23"/>
                <w:color w:val="auto"/>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70"/>
        </w:trPr>
        <w:tc>
          <w:tcPr>
            <w:tcW w:w="4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unsecured notes due 2030 (€500 principal)</w:t>
            </w:r>
            <w:r>
              <w:rPr>
                <w:rFonts w:ascii="Times New Roman" w:cs="Times New Roman" w:eastAsia="Times New Roman" w:hAnsi="Times New Roman"/>
                <w:sz w:val="23"/>
                <w:szCs w:val="23"/>
                <w:color w:val="auto"/>
                <w:vertAlign w:val="superscript"/>
              </w:rPr>
              <w:t>(4)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70"/>
        </w:trPr>
        <w:tc>
          <w:tcPr>
            <w:tcW w:w="4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Five-year term loan due 2027</w:t>
            </w:r>
            <w:r>
              <w:rPr>
                <w:rFonts w:ascii="Times New Roman" w:cs="Times New Roman" w:eastAsia="Times New Roman" w:hAnsi="Times New Roman"/>
                <w:sz w:val="23"/>
                <w:szCs w:val="23"/>
                <w:color w:val="auto"/>
                <w:vertAlign w:val="superscript"/>
              </w:rPr>
              <w:t>(5)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0"/>
        </w:trPr>
        <w:tc>
          <w:tcPr>
            <w:tcW w:w="4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and other debt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7"/>
        </w:trPr>
        <w:tc>
          <w:tcPr>
            <w:tcW w:w="4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7"/>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debt</w:t>
            </w:r>
            <w:r>
              <w:rPr>
                <w:rFonts w:ascii="Times New Roman" w:cs="Times New Roman" w:eastAsia="Times New Roman" w:hAnsi="Times New Roman"/>
                <w:sz w:val="23"/>
                <w:szCs w:val="23"/>
                <w:color w:val="auto"/>
                <w:vertAlign w:val="superscript"/>
              </w:rPr>
              <w:t>(6)</w:t>
            </w: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3"/>
        </w:trPr>
        <w:tc>
          <w:tcPr>
            <w:tcW w:w="40" w:type="dxa"/>
            <w:vAlign w:val="bottom"/>
          </w:tcPr>
          <w:p>
            <w:pPr>
              <w:spacing w:after="0"/>
              <w:rPr>
                <w:sz w:val="19"/>
                <w:szCs w:val="19"/>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0"/>
        </w:trPr>
        <w:tc>
          <w:tcPr>
            <w:tcW w:w="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discount and debt issuance costs of $5 million and $6 million as of September 30, 2026 and December 31, 2025, respectively.</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discount and debt issuance costs of $2 million as of September 30, 2026 and December 31, 2025.</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discount and debt issuance costs of $8 million and $9 million as of September 30, 2026 and December 31, 2025, respectively.</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discount and debt issuance costs of $6 million and $7 million as of September 30, 2026 and December 31, 2025, respectively.</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Variable-rate debt.</w:t>
      </w:r>
    </w:p>
    <w:p>
      <w:pPr>
        <w:spacing w:after="0" w:line="14" w:lineRule="exact"/>
        <w:rPr>
          <w:rFonts w:ascii="Times New Roman" w:cs="Times New Roman" w:eastAsia="Times New Roman" w:hAnsi="Times New Roman"/>
          <w:sz w:val="14"/>
          <w:szCs w:val="14"/>
          <w:color w:val="auto"/>
        </w:rPr>
      </w:pPr>
    </w:p>
    <w:p>
      <w:pPr>
        <w:ind w:left="180" w:right="480" w:hanging="172"/>
        <w:spacing w:after="0" w:line="263" w:lineRule="auto"/>
        <w:tabs>
          <w:tab w:leader="none" w:pos="22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current debt consisted of $275 million five-year term loan maturing in May 2027, $82 million of finance lease liabilities and $9 million of other debt. As of December 31, 2025, current debt consisted of $400 million in unsecured notes maturing in July 2026, $45 million of finance lease liabilities and $1 million of other debt.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Repayments of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maturity in July 2026, the Company repaid $400 million of 1.65% unsecured notes using cash on hand.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a five-year unsecured, multi-currency revolving credit facility expiring in 2029 (the “Revolving Credit Agreement”). The aggregate commitment of all lenders under the Revolving Credit Agreement is equal to $800 million, of which $100 million is available for the issuance of letters of credit. As of September 30, 2026 and December 31, 2025, no amounts were outstanding, and letters of credit were $7 million and $6 million, respectively, under the Revolving Credit Agreement. Borrowings under revolving credit facilities maturing in three months or less are presented net in the Condensed Consolidated Statement of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Compliance</w:t>
      </w:r>
    </w:p>
    <w:p>
      <w:pPr>
        <w:spacing w:after="0" w:line="2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covenants governing the Company’s debt securities limit our ability to incur indebtedness and grant liens, among other restrictions. The Company’s revolving credit facility generally requires us to maintain a consolidated leverage ratio of no greater than 3.50 to 1.00, which may increase to 4.25 to 1.00 following the consummation of a material acquisition. The consolidated leverage ratio may not exceed 3.50 to 1.00 for more than five consecutive fiscal quarters. As of September 30, 2026, the Company was in compliance with the covenants contained in its debt and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Factoring Programs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sells certain of its trade receivables on a non-recourse basis to third-party financial institutions under various factoring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trade receivables sold under the factoring agreements was as follows: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 and Financial Instruments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The levels of inputs used to measure fair value are:</w:t>
      </w:r>
    </w:p>
    <w:p>
      <w:pPr>
        <w:spacing w:after="0" w:line="20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ind w:left="660" w:right="88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generally utilizing pricing models or other valuation techniques that reflect management’s judgment and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September 30, 2026 and December 31, 2025, due to their short-term nature.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of debt was  as follows: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59"/>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 due 2026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 due 2029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595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 due 2031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 due 2034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7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unsecured notes due 2030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7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Five-year term loan due 2027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 of derivative instruments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0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net investment hedges: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Cross-currency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Pr>
          <w:p>
            <w:pPr>
              <w:spacing w:after="0"/>
              <w:rPr>
                <w:sz w:val="20"/>
                <w:szCs w:val="20"/>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0" w:type="dxa"/>
            <w:vAlign w:val="bottom"/>
          </w:tcPr>
          <w:p>
            <w:pPr>
              <w:spacing w:after="0"/>
              <w:rPr>
                <w:sz w:val="1"/>
                <w:szCs w:val="1"/>
                <w:color w:val="auto"/>
              </w:rPr>
            </w:pPr>
          </w:p>
        </w:tc>
      </w:tr>
      <w:tr>
        <w:trPr>
          <w:trHeight w:val="253"/>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0" w:type="dxa"/>
            <w:vAlign w:val="bottom"/>
          </w:tcPr>
          <w:p>
            <w:pPr>
              <w:spacing w:after="0"/>
              <w:rPr>
                <w:sz w:val="1"/>
                <w:szCs w:val="1"/>
                <w:color w:val="auto"/>
              </w:rPr>
            </w:pPr>
          </w:p>
        </w:tc>
      </w:tr>
      <w:tr>
        <w:trPr>
          <w:trHeight w:val="23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Derivatives designated as fair value hedges: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Cross-currency swaps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0" w:type="dxa"/>
            <w:vAlign w:val="bottom"/>
          </w:tcPr>
          <w:p>
            <w:pPr>
              <w:spacing w:after="0"/>
              <w:rPr>
                <w:sz w:val="1"/>
                <w:szCs w:val="1"/>
                <w:color w:val="auto"/>
              </w:rPr>
            </w:pPr>
          </w:p>
        </w:tc>
      </w:tr>
      <w:tr>
        <w:trPr>
          <w:trHeight w:val="233"/>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Cross-currency swaps</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0" w:type="dxa"/>
            <w:vAlign w:val="bottom"/>
          </w:tcPr>
          <w:p>
            <w:pPr>
              <w:spacing w:after="0"/>
              <w:rPr>
                <w:sz w:val="1"/>
                <w:szCs w:val="1"/>
                <w:color w:val="auto"/>
              </w:rPr>
            </w:pPr>
          </w:p>
        </w:tc>
      </w:tr>
      <w:tr>
        <w:trPr>
          <w:trHeight w:val="25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currency option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20"/>
                <w:szCs w:val="20"/>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0" w:type="dxa"/>
            <w:vAlign w:val="bottom"/>
          </w:tcPr>
          <w:p>
            <w:pPr>
              <w:spacing w:after="0"/>
              <w:rPr>
                <w:sz w:val="1"/>
                <w:szCs w:val="1"/>
                <w:color w:val="auto"/>
              </w:rPr>
            </w:pPr>
          </w:p>
        </w:tc>
      </w:tr>
      <w:tr>
        <w:trPr>
          <w:trHeight w:val="246"/>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option contracts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0" w:type="dxa"/>
            <w:vAlign w:val="bottom"/>
          </w:tcPr>
          <w:p>
            <w:pPr>
              <w:spacing w:after="0"/>
              <w:rPr>
                <w:sz w:val="1"/>
                <w:szCs w:val="1"/>
                <w:color w:val="auto"/>
              </w:rPr>
            </w:pPr>
          </w:p>
        </w:tc>
      </w:tr>
      <w:tr>
        <w:trPr>
          <w:trHeight w:val="240"/>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currency option contracts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0" w:type="dxa"/>
            <w:vAlign w:val="bottom"/>
          </w:tcPr>
          <w:p>
            <w:pPr>
              <w:spacing w:after="0"/>
              <w:rPr>
                <w:sz w:val="1"/>
                <w:szCs w:val="1"/>
                <w:color w:val="auto"/>
              </w:rPr>
            </w:pPr>
          </w:p>
        </w:tc>
      </w:tr>
      <w:tr>
        <w:trPr>
          <w:trHeight w:val="246"/>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option contracts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0" w:type="dxa"/>
            <w:vAlign w:val="bottom"/>
          </w:tcPr>
          <w:p>
            <w:pPr>
              <w:spacing w:after="0"/>
              <w:rPr>
                <w:sz w:val="1"/>
                <w:szCs w:val="1"/>
                <w:color w:val="auto"/>
              </w:rPr>
            </w:pPr>
          </w:p>
        </w:tc>
      </w:tr>
      <w:tr>
        <w:trPr>
          <w:trHeight w:val="237"/>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derivatives were classified as Level 2 within the fair value hierarchy. The derivatives are valued using inputs other than quoted prices such as foreign exchange rates and yield curves.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hedges on AOCIL and in the Condensed Consolidated Statements of Operations was as follows: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60" w:type="dxa"/>
            <w:vAlign w:val="bottom"/>
          </w:tcPr>
          <w:p>
            <w:pPr>
              <w:spacing w:after="0"/>
              <w:rPr>
                <w:sz w:val="19"/>
                <w:szCs w:val="19"/>
                <w:color w:val="auto"/>
              </w:rPr>
            </w:pPr>
          </w:p>
        </w:tc>
        <w:tc>
          <w:tcPr>
            <w:tcW w:w="4360" w:type="dxa"/>
            <w:vAlign w:val="bottom"/>
            <w:gridSpan w:val="7"/>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38"/>
              <w:spacing w:after="0" w:line="162" w:lineRule="exact"/>
              <w:rPr>
                <w:sz w:val="20"/>
                <w:szCs w:val="20"/>
                <w:color w:val="auto"/>
              </w:rPr>
            </w:pPr>
            <w:r>
              <w:rPr>
                <w:rFonts w:ascii="Times New Roman" w:cs="Times New Roman" w:eastAsia="Times New Roman" w:hAnsi="Times New Roman"/>
                <w:sz w:val="16"/>
                <w:szCs w:val="16"/>
                <w:b w:val="1"/>
                <w:bCs w:val="1"/>
                <w:color w:val="auto"/>
              </w:rPr>
              <w:t>Gain (Loss)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8"/>
              <w:spacing w:after="0" w:line="162" w:lineRule="exact"/>
              <w:rPr>
                <w:sz w:val="20"/>
                <w:szCs w:val="20"/>
                <w:color w:val="auto"/>
              </w:rPr>
            </w:pPr>
            <w:r>
              <w:rPr>
                <w:rFonts w:ascii="Times New Roman" w:cs="Times New Roman" w:eastAsia="Times New Roman" w:hAnsi="Times New Roman"/>
                <w:sz w:val="16"/>
                <w:szCs w:val="16"/>
                <w:b w:val="1"/>
                <w:bCs w:val="1"/>
                <w:color w:val="auto"/>
              </w:rPr>
              <w:t>Gain (Loss)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Net</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Net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Income on</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8"/>
              <w:spacing w:after="0" w:line="162" w:lineRule="exact"/>
              <w:rPr>
                <w:sz w:val="20"/>
                <w:szCs w:val="20"/>
                <w:color w:val="auto"/>
              </w:rPr>
            </w:pPr>
            <w:r>
              <w:rPr>
                <w:rFonts w:ascii="Times New Roman" w:cs="Times New Roman" w:eastAsia="Times New Roman" w:hAnsi="Times New Roman"/>
                <w:sz w:val="16"/>
                <w:szCs w:val="16"/>
                <w:b w:val="1"/>
                <w:bCs w:val="1"/>
                <w:color w:val="auto"/>
              </w:rPr>
              <w:t>Income on</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Amount of Gain</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Amount of Gain</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40" w:type="dxa"/>
            <w:vAlign w:val="bottom"/>
          </w:tcPr>
          <w:p>
            <w:pPr>
              <w:spacing w:after="0"/>
              <w:rPr>
                <w:sz w:val="17"/>
                <w:szCs w:val="17"/>
                <w:color w:val="auto"/>
              </w:rPr>
            </w:pPr>
          </w:p>
        </w:tc>
        <w:tc>
          <w:tcPr>
            <w:tcW w:w="12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w w:val="98"/>
              </w:rPr>
              <w:t>(Loss) Recognized in</w:t>
            </w: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b w:val="1"/>
                <w:bCs w:val="1"/>
                <w:color w:val="auto"/>
              </w:rPr>
              <w:t>Reclassified from</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(Excluded from</w:t>
            </w: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w w:val="98"/>
              </w:rPr>
              <w:t>(Loss) Recognized in</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rPr>
              <w:t>Reclassified from</w:t>
            </w:r>
          </w:p>
        </w:tc>
        <w:tc>
          <w:tcPr>
            <w:tcW w:w="140" w:type="dxa"/>
            <w:vAlign w:val="bottom"/>
          </w:tcPr>
          <w:p>
            <w:pPr>
              <w:spacing w:after="0"/>
              <w:rPr>
                <w:sz w:val="12"/>
                <w:szCs w:val="12"/>
                <w:color w:val="auto"/>
              </w:rPr>
            </w:pPr>
          </w:p>
        </w:tc>
        <w:tc>
          <w:tcPr>
            <w:tcW w:w="1280" w:type="dxa"/>
            <w:vAlign w:val="bottom"/>
          </w:tcPr>
          <w:p>
            <w:pPr>
              <w:jc w:val="center"/>
              <w:ind w:right="38"/>
              <w:spacing w:after="0" w:line="148" w:lineRule="exact"/>
              <w:rPr>
                <w:sz w:val="20"/>
                <w:szCs w:val="20"/>
                <w:color w:val="auto"/>
              </w:rPr>
            </w:pPr>
            <w:r>
              <w:rPr>
                <w:rFonts w:ascii="Times New Roman" w:cs="Times New Roman" w:eastAsia="Times New Roman" w:hAnsi="Times New Roman"/>
                <w:sz w:val="16"/>
                <w:szCs w:val="16"/>
                <w:b w:val="1"/>
                <w:bCs w:val="1"/>
                <w:color w:val="auto"/>
              </w:rPr>
              <w:t>(Excluded from</w:t>
            </w:r>
          </w:p>
        </w:tc>
        <w:tc>
          <w:tcPr>
            <w:tcW w:w="0" w:type="dxa"/>
            <w:vAlign w:val="bottom"/>
          </w:tcPr>
          <w:p>
            <w:pPr>
              <w:spacing w:after="0"/>
              <w:rPr>
                <w:sz w:val="1"/>
                <w:szCs w:val="1"/>
                <w:color w:val="auto"/>
              </w:rPr>
            </w:pPr>
          </w:p>
        </w:tc>
      </w:tr>
      <w:tr>
        <w:trPr>
          <w:trHeight w:val="135"/>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5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w w:val="98"/>
              </w:rPr>
              <w:t>Other Comprehensive</w:t>
            </w: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AOCIL into Net</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effectiveness</w:t>
            </w:r>
          </w:p>
        </w:tc>
        <w:tc>
          <w:tcPr>
            <w:tcW w:w="15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5"/>
                <w:szCs w:val="15"/>
                <w:b w:val="1"/>
                <w:bCs w:val="1"/>
                <w:color w:val="auto"/>
                <w:w w:val="98"/>
              </w:rPr>
              <w:t>Other Comprehensive</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AOCIL into Net</w:t>
            </w:r>
          </w:p>
        </w:tc>
        <w:tc>
          <w:tcPr>
            <w:tcW w:w="140" w:type="dxa"/>
            <w:vAlign w:val="bottom"/>
          </w:tcPr>
          <w:p>
            <w:pPr>
              <w:spacing w:after="0"/>
              <w:rPr>
                <w:sz w:val="11"/>
                <w:szCs w:val="11"/>
                <w:color w:val="auto"/>
              </w:rPr>
            </w:pPr>
          </w:p>
        </w:tc>
        <w:tc>
          <w:tcPr>
            <w:tcW w:w="128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5"/>
                <w:szCs w:val="15"/>
                <w:b w:val="1"/>
                <w:bCs w:val="1"/>
                <w:color w:val="auto"/>
              </w:rPr>
              <w:t>effectiveness</w:t>
            </w:r>
          </w:p>
        </w:tc>
        <w:tc>
          <w:tcPr>
            <w:tcW w:w="0" w:type="dxa"/>
            <w:vAlign w:val="bottom"/>
          </w:tcPr>
          <w:p>
            <w:pPr>
              <w:spacing w:after="0"/>
              <w:rPr>
                <w:sz w:val="1"/>
                <w:szCs w:val="1"/>
                <w:color w:val="auto"/>
              </w:rPr>
            </w:pPr>
          </w:p>
        </w:tc>
      </w:tr>
      <w:tr>
        <w:trPr>
          <w:trHeight w:val="216"/>
        </w:trPr>
        <w:tc>
          <w:tcPr>
            <w:tcW w:w="2060" w:type="dxa"/>
            <w:vAlign w:val="bottom"/>
            <w:gridSpan w:val="2"/>
            <w:vMerge w:val="continue"/>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Income on Derivative</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testing)</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Income on Derivative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2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testing)</w:t>
            </w: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hedges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17"/>
                <w:szCs w:val="17"/>
                <w:color w:val="auto"/>
              </w:rPr>
              <w:t>Cross-currency swaps</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rate swaps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Cross-currency swaps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reclassified to Net income are reported in Interest expense,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60" w:type="dxa"/>
            <w:vAlign w:val="bottom"/>
          </w:tcPr>
          <w:p>
            <w:pPr>
              <w:spacing w:after="0"/>
              <w:rPr>
                <w:sz w:val="19"/>
                <w:szCs w:val="19"/>
                <w:color w:val="auto"/>
              </w:rPr>
            </w:pPr>
          </w:p>
        </w:tc>
        <w:tc>
          <w:tcPr>
            <w:tcW w:w="4360" w:type="dxa"/>
            <w:vAlign w:val="bottom"/>
            <w:gridSpan w:val="7"/>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38"/>
              <w:spacing w:after="0" w:line="162" w:lineRule="exact"/>
              <w:rPr>
                <w:sz w:val="20"/>
                <w:szCs w:val="20"/>
                <w:color w:val="auto"/>
              </w:rPr>
            </w:pPr>
            <w:r>
              <w:rPr>
                <w:rFonts w:ascii="Times New Roman" w:cs="Times New Roman" w:eastAsia="Times New Roman" w:hAnsi="Times New Roman"/>
                <w:sz w:val="16"/>
                <w:szCs w:val="16"/>
                <w:b w:val="1"/>
                <w:bCs w:val="1"/>
                <w:color w:val="auto"/>
              </w:rPr>
              <w:t>Gain (Loss)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8"/>
              <w:spacing w:after="0" w:line="162" w:lineRule="exact"/>
              <w:rPr>
                <w:sz w:val="20"/>
                <w:szCs w:val="20"/>
                <w:color w:val="auto"/>
              </w:rPr>
            </w:pPr>
            <w:r>
              <w:rPr>
                <w:rFonts w:ascii="Times New Roman" w:cs="Times New Roman" w:eastAsia="Times New Roman" w:hAnsi="Times New Roman"/>
                <w:sz w:val="16"/>
                <w:szCs w:val="16"/>
                <w:b w:val="1"/>
                <w:bCs w:val="1"/>
                <w:color w:val="auto"/>
              </w:rPr>
              <w:t>Gain (Loss)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Net</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Net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Income on</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8"/>
              <w:spacing w:after="0" w:line="162" w:lineRule="exact"/>
              <w:rPr>
                <w:sz w:val="20"/>
                <w:szCs w:val="20"/>
                <w:color w:val="auto"/>
              </w:rPr>
            </w:pPr>
            <w:r>
              <w:rPr>
                <w:rFonts w:ascii="Times New Roman" w:cs="Times New Roman" w:eastAsia="Times New Roman" w:hAnsi="Times New Roman"/>
                <w:sz w:val="16"/>
                <w:szCs w:val="16"/>
                <w:b w:val="1"/>
                <w:bCs w:val="1"/>
                <w:color w:val="auto"/>
              </w:rPr>
              <w:t>Income on</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Amount of Gain</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Amount of Gain</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40" w:type="dxa"/>
            <w:vAlign w:val="bottom"/>
          </w:tcPr>
          <w:p>
            <w:pPr>
              <w:spacing w:after="0"/>
              <w:rPr>
                <w:sz w:val="17"/>
                <w:szCs w:val="17"/>
                <w:color w:val="auto"/>
              </w:rPr>
            </w:pPr>
          </w:p>
        </w:tc>
        <w:tc>
          <w:tcPr>
            <w:tcW w:w="12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w w:val="98"/>
              </w:rPr>
              <w:t>(Loss) Recognized in</w:t>
            </w: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b w:val="1"/>
                <w:bCs w:val="1"/>
                <w:color w:val="auto"/>
              </w:rPr>
              <w:t>Reclassified from</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(Excluded from</w:t>
            </w: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w w:val="98"/>
              </w:rPr>
              <w:t>(Loss) Recognized in</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rPr>
              <w:t>Reclassified from</w:t>
            </w:r>
          </w:p>
        </w:tc>
        <w:tc>
          <w:tcPr>
            <w:tcW w:w="140" w:type="dxa"/>
            <w:vAlign w:val="bottom"/>
          </w:tcPr>
          <w:p>
            <w:pPr>
              <w:spacing w:after="0"/>
              <w:rPr>
                <w:sz w:val="12"/>
                <w:szCs w:val="12"/>
                <w:color w:val="auto"/>
              </w:rPr>
            </w:pPr>
          </w:p>
        </w:tc>
        <w:tc>
          <w:tcPr>
            <w:tcW w:w="1280" w:type="dxa"/>
            <w:vAlign w:val="bottom"/>
          </w:tcPr>
          <w:p>
            <w:pPr>
              <w:jc w:val="center"/>
              <w:ind w:right="38"/>
              <w:spacing w:after="0" w:line="148" w:lineRule="exact"/>
              <w:rPr>
                <w:sz w:val="20"/>
                <w:szCs w:val="20"/>
                <w:color w:val="auto"/>
              </w:rPr>
            </w:pPr>
            <w:r>
              <w:rPr>
                <w:rFonts w:ascii="Times New Roman" w:cs="Times New Roman" w:eastAsia="Times New Roman" w:hAnsi="Times New Roman"/>
                <w:sz w:val="16"/>
                <w:szCs w:val="16"/>
                <w:b w:val="1"/>
                <w:bCs w:val="1"/>
                <w:color w:val="auto"/>
              </w:rPr>
              <w:t>(Excluded from</w:t>
            </w:r>
          </w:p>
        </w:tc>
        <w:tc>
          <w:tcPr>
            <w:tcW w:w="0" w:type="dxa"/>
            <w:vAlign w:val="bottom"/>
          </w:tcPr>
          <w:p>
            <w:pPr>
              <w:spacing w:after="0"/>
              <w:rPr>
                <w:sz w:val="1"/>
                <w:szCs w:val="1"/>
                <w:color w:val="auto"/>
              </w:rPr>
            </w:pPr>
          </w:p>
        </w:tc>
      </w:tr>
      <w:tr>
        <w:trPr>
          <w:trHeight w:val="148"/>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w w:val="98"/>
              </w:rPr>
              <w:t>Other Comprehensive</w:t>
            </w: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b w:val="1"/>
                <w:bCs w:val="1"/>
                <w:color w:val="auto"/>
              </w:rPr>
              <w:t>AOCIL into Net</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rPr>
              <w:t>effectiveness</w:t>
            </w:r>
          </w:p>
        </w:tc>
        <w:tc>
          <w:tcPr>
            <w:tcW w:w="15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w w:val="98"/>
              </w:rPr>
              <w:t>Other Comprehensive</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rPr>
              <w:t>AOCIL into Net</w:t>
            </w:r>
          </w:p>
        </w:tc>
        <w:tc>
          <w:tcPr>
            <w:tcW w:w="140" w:type="dxa"/>
            <w:vAlign w:val="bottom"/>
          </w:tcPr>
          <w:p>
            <w:pPr>
              <w:spacing w:after="0"/>
              <w:rPr>
                <w:sz w:val="12"/>
                <w:szCs w:val="12"/>
                <w:color w:val="auto"/>
              </w:rPr>
            </w:pPr>
          </w:p>
        </w:tc>
        <w:tc>
          <w:tcPr>
            <w:tcW w:w="1280" w:type="dxa"/>
            <w:vAlign w:val="bottom"/>
          </w:tcPr>
          <w:p>
            <w:pPr>
              <w:jc w:val="center"/>
              <w:ind w:right="58"/>
              <w:spacing w:after="0" w:line="148" w:lineRule="exact"/>
              <w:rPr>
                <w:sz w:val="20"/>
                <w:szCs w:val="20"/>
                <w:color w:val="auto"/>
              </w:rPr>
            </w:pPr>
            <w:r>
              <w:rPr>
                <w:rFonts w:ascii="Times New Roman" w:cs="Times New Roman" w:eastAsia="Times New Roman" w:hAnsi="Times New Roman"/>
                <w:sz w:val="16"/>
                <w:szCs w:val="16"/>
                <w:b w:val="1"/>
                <w:bCs w:val="1"/>
                <w:color w:val="auto"/>
              </w:rPr>
              <w:t>effectiveness</w:t>
            </w:r>
          </w:p>
        </w:tc>
        <w:tc>
          <w:tcPr>
            <w:tcW w:w="0" w:type="dxa"/>
            <w:vAlign w:val="bottom"/>
          </w:tcPr>
          <w:p>
            <w:pPr>
              <w:spacing w:after="0"/>
              <w:rPr>
                <w:sz w:val="1"/>
                <w:szCs w:val="1"/>
                <w:color w:val="auto"/>
              </w:rPr>
            </w:pPr>
          </w:p>
        </w:tc>
      </w:tr>
      <w:tr>
        <w:trPr>
          <w:trHeight w:val="203"/>
        </w:trPr>
        <w:tc>
          <w:tcPr>
            <w:tcW w:w="2060" w:type="dxa"/>
            <w:vAlign w:val="bottom"/>
            <w:gridSpan w:val="2"/>
            <w:vMerge w:val="continue"/>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Income on Derivative</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testing)</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Income on Derivative</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7"/>
                <w:szCs w:val="17"/>
                <w:color w:val="auto"/>
              </w:rPr>
            </w:pPr>
          </w:p>
        </w:tc>
        <w:tc>
          <w:tcPr>
            <w:tcW w:w="12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testing)</w:t>
            </w: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hedges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17"/>
                <w:szCs w:val="17"/>
                <w:color w:val="auto"/>
              </w:rPr>
              <w:t>Cross-currency swaps</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rate swaps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reclassified to Net income are reported in Interest expense, net in the Condensed Consolidated Statements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Hedges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Gains and losses for derivatives not designated as hedges were $2 million and $3 million gains for the three months ended September 30, 2026 and 2025, respectively, and $7 million gain and $11 million loss for the nine months ended September 30, 2026 and 2025, respectively. The Company recorded gains and losses for derivatives not designated as hedges as Other income (expense), net in the Condensed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Divestiture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2024, the Company completed the acquisition of Wincanton plc (now Wincanton Limited) (the “Wincanton Acquisition”). The Wincanton Acquisition was subject to review by the U.K. Competition and Markets Authority (the “CMA”). In 2025, the CMA approved the Wincanton Acquisition, subject to the divestment of certain grocery contracts in the U.K. (the “Wincanton Divestment”).</w:t>
      </w:r>
    </w:p>
    <w:p>
      <w:pPr>
        <w:spacing w:after="0" w:line="20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met the held-for-sale criteria for the anticipated Wincanton Divestment and recorded a $37 million write-down loss, including $4 million of goodwill, $21 million of customer relationships, and a $12 million fair value adjustment. For the three and nine months ended September 30, 2026, the Company recorded additional impairment of $1 million and $24 million, respectively, due to a further reduction in estimated fair value. In September 2026, the Company completed the Wincanton Divestment and paid $38 million in cash in connection with the transaction.</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2025, Assets and liabilities held for sale were not material and are included in Other current assets and Other current liabilities, respectively, in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offers pension plans in certain jurisdictions, with the most significant plans in the U.K. In the U.K., the Company sponsors two defined benefit pension schemes (the “U.K. Retirement Plans”). The U.K. Retirement Plans do not allow for new plan participants or additional benefit accruals. The funded status of the U.K. Retirement Plans was recorded in Other long-term assets in the Condensed Consolidated Balance Sheets. The Company considers its other defined benefit pension plans not material to its Consolidated Financial Statements.</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Components of the net periodic benefit income recognized under the U.K. Retirement Plans were $7 million and $5 million for the three months ended September 30, 2026 and 2025, respectively, and $21 million and $14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ind w:right="1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and 2025, respectively. The Company recorded periodic pension income as Other income (expense), net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the Company has defined contribution retirement plans for its United States employees and employees of certain foreign subsidiaries. In these plans, employees are allowed to contribute a portion of their salaries and bonuses to the plans, and the Company matches a portion of the employee contributions.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Defined contribution plan costs were $30 million and $28 million for the three months ended September 30, 2026 and 2025, respectively, and $94 million and $82 million for the nine months ended September 30, 2026 and 2025, respectively. The Company primarily recorded defined contribution plan costs as direct operating expense in the Condensed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2026 decreased $21 million, or 75.0%, compared with the three months ended September 30, 2025. The Company’s effective tax rate was 10.2% for the three months ended September 30, 2026, compared with 31.2% for the three months ended September 30, 2025, primarily reflecting tax benefits related to the Wincanton Divestment and higher deferred tax benefits.</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2026 decreased $5 million, or 11.1%, compared with the nine months ended September 30, 2025. The Company’s effective tax rate was 29.2% for the nine months ended September 30, 2026, compared with 118.1% for the nine months ended September 30, 2025, primarily reflecting the non-recurrence of non-deductible litigation costs incurred in 2025 and higher deferred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25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2025, the Company’s board of directors authorized and announced a repurchase plan for up to $500 million of its common stock (the “Repurchase Plan”). The Repurchase Plan permits shares of common stock to be repurchased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The Repurchase Plan does not obligate the Company to repurchase any specific number of shares of common stock and may be suspended or discontinued at any time.</w:t>
      </w:r>
    </w:p>
    <w:p>
      <w:pPr>
        <w:spacing w:after="0" w:line="21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repurchase of shares of the Company’s common stock is recorded as treasury stock within equity. It is accounted for under the cost method, inclusive of share repurchase costs and excise tax on share repurchases in excess of issuances. For the three months ended September 30, 2026, the Company repurchased approximately 1.8 million shares of its common stock for an aggregate purchase price of $85 million, including $84 million of share repurchases and $1 million of excise tax, and did not repurchase any shares for the three months ended September 30, 2025. For the nine months ended September 30, 2026 and 2025, the Company repurchased approximately 2.1 million and 5.4 million shares of its common stock for an aggregate purchase price of $101 million and $202 million, including $100 million and $200 million of share repurchases and $1 million and $2 million of excise tax, respectively. As of September 30, 2026, $200 million remained authorized under the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AOCIL by component:</w:t>
      </w:r>
    </w:p>
    <w:p>
      <w:pPr>
        <w:spacing w:after="0" w:line="6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b w:val="1"/>
          <w:bCs w:val="1"/>
          <w:color w:val="auto"/>
        </w:rPr>
        <w:t>Foreign Currency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41275</wp:posOffset>
            </wp:positionV>
            <wp:extent cx="1534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Defined</w:t>
            </w:r>
          </w:p>
        </w:tc>
        <w:tc>
          <w:tcPr>
            <w:tcW w:w="16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Less: AOCIL</w:t>
            </w:r>
          </w:p>
        </w:tc>
        <w:tc>
          <w:tcPr>
            <w:tcW w:w="160" w:type="dxa"/>
            <w:vAlign w:val="bottom"/>
          </w:tcPr>
          <w:p>
            <w:pPr>
              <w:spacing w:after="0"/>
              <w:rPr>
                <w:sz w:val="15"/>
                <w:szCs w:val="15"/>
                <w:color w:val="auto"/>
              </w:rPr>
            </w:pPr>
          </w:p>
        </w:tc>
        <w:tc>
          <w:tcPr>
            <w:tcW w:w="1040" w:type="dxa"/>
            <w:vAlign w:val="bottom"/>
            <w:vMerge w:val="restart"/>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AOCIL</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w w:val="97"/>
              </w:rPr>
              <w:t>Currency</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Net Investment</w:t>
            </w:r>
          </w:p>
        </w:tc>
        <w:tc>
          <w:tcPr>
            <w:tcW w:w="1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Flow</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Benefit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attributable to</w:t>
            </w:r>
          </w:p>
        </w:tc>
        <w:tc>
          <w:tcPr>
            <w:tcW w:w="160" w:type="dxa"/>
            <w:vAlign w:val="bottom"/>
          </w:tcPr>
          <w:p>
            <w:pPr>
              <w:spacing w:after="0"/>
              <w:rPr>
                <w:sz w:val="15"/>
                <w:szCs w:val="15"/>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attributable</w:t>
            </w:r>
          </w:p>
        </w:tc>
        <w:tc>
          <w:tcPr>
            <w:tcW w:w="0" w:type="dxa"/>
            <w:vAlign w:val="bottom"/>
          </w:tcPr>
          <w:p>
            <w:pPr>
              <w:spacing w:after="0"/>
              <w:rPr>
                <w:sz w:val="1"/>
                <w:szCs w:val="1"/>
                <w:color w:val="auto"/>
              </w:rPr>
            </w:pPr>
          </w:p>
        </w:tc>
      </w:tr>
      <w:tr>
        <w:trPr>
          <w:trHeight w:val="216"/>
        </w:trPr>
        <w:tc>
          <w:tcPr>
            <w:tcW w:w="3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Hedges</w:t>
            </w:r>
          </w:p>
        </w:tc>
        <w:tc>
          <w:tcPr>
            <w:tcW w:w="14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NCI</w:t>
            </w:r>
          </w:p>
        </w:tc>
        <w:tc>
          <w:tcPr>
            <w:tcW w:w="160" w:type="dxa"/>
            <w:vAlign w:val="bottom"/>
          </w:tcPr>
          <w:p>
            <w:pPr>
              <w:spacing w:after="0"/>
              <w:rPr>
                <w:sz w:val="18"/>
                <w:szCs w:val="18"/>
                <w:color w:val="auto"/>
              </w:rPr>
            </w:pPr>
          </w:p>
        </w:tc>
        <w:tc>
          <w:tcPr>
            <w:tcW w:w="104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to GXO</w:t>
            </w:r>
          </w:p>
        </w:tc>
        <w:tc>
          <w:tcPr>
            <w:tcW w:w="0" w:type="dxa"/>
            <w:vAlign w:val="bottom"/>
          </w:tcPr>
          <w:p>
            <w:pPr>
              <w:spacing w:after="0"/>
              <w:rPr>
                <w:sz w:val="1"/>
                <w:szCs w:val="1"/>
                <w:color w:val="auto"/>
              </w:rPr>
            </w:pPr>
          </w:p>
        </w:tc>
      </w:tr>
      <w:tr>
        <w:trPr>
          <w:trHeight w:val="22"/>
        </w:trPr>
        <w:tc>
          <w:tcPr>
            <w:tcW w:w="2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June 30,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to 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amounts</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9"/>
        </w:trPr>
        <w:tc>
          <w:tcPr>
            <w:tcW w:w="2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4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 of September 30,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2"/>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Foreign Currency Adjustment</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Cash</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Defined</w:t>
            </w:r>
          </w:p>
        </w:tc>
        <w:tc>
          <w:tcPr>
            <w:tcW w:w="16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Less: AOCIL</w:t>
            </w:r>
          </w:p>
        </w:tc>
        <w:tc>
          <w:tcPr>
            <w:tcW w:w="160" w:type="dxa"/>
            <w:vAlign w:val="bottom"/>
          </w:tcPr>
          <w:p>
            <w:pPr>
              <w:spacing w:after="0"/>
              <w:rPr>
                <w:sz w:val="15"/>
                <w:szCs w:val="15"/>
                <w:color w:val="auto"/>
              </w:rPr>
            </w:pPr>
          </w:p>
        </w:tc>
        <w:tc>
          <w:tcPr>
            <w:tcW w:w="1040" w:type="dxa"/>
            <w:vAlign w:val="bottom"/>
            <w:vMerge w:val="restart"/>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AOCIL</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7"/>
              </w:rPr>
              <w:t>Currency</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Net Investment</w:t>
            </w:r>
          </w:p>
        </w:tc>
        <w:tc>
          <w:tcPr>
            <w:tcW w:w="1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Flow</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Benefit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attributable to</w:t>
            </w:r>
          </w:p>
        </w:tc>
        <w:tc>
          <w:tcPr>
            <w:tcW w:w="160" w:type="dxa"/>
            <w:vAlign w:val="bottom"/>
          </w:tcPr>
          <w:p>
            <w:pPr>
              <w:spacing w:after="0"/>
              <w:rPr>
                <w:sz w:val="15"/>
                <w:szCs w:val="15"/>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attributable</w:t>
            </w:r>
          </w:p>
        </w:tc>
        <w:tc>
          <w:tcPr>
            <w:tcW w:w="0" w:type="dxa"/>
            <w:vAlign w:val="bottom"/>
          </w:tcPr>
          <w:p>
            <w:pPr>
              <w:spacing w:after="0"/>
              <w:rPr>
                <w:sz w:val="1"/>
                <w:szCs w:val="1"/>
                <w:color w:val="auto"/>
              </w:rPr>
            </w:pPr>
          </w:p>
        </w:tc>
      </w:tr>
      <w:tr>
        <w:trPr>
          <w:trHeight w:val="214"/>
        </w:trPr>
        <w:tc>
          <w:tcPr>
            <w:tcW w:w="3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Hedges</w:t>
            </w:r>
          </w:p>
        </w:tc>
        <w:tc>
          <w:tcPr>
            <w:tcW w:w="14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NCI</w:t>
            </w:r>
          </w:p>
        </w:tc>
        <w:tc>
          <w:tcPr>
            <w:tcW w:w="160" w:type="dxa"/>
            <w:vAlign w:val="bottom"/>
          </w:tcPr>
          <w:p>
            <w:pPr>
              <w:spacing w:after="0"/>
              <w:rPr>
                <w:sz w:val="18"/>
                <w:szCs w:val="18"/>
                <w:color w:val="auto"/>
              </w:rPr>
            </w:pPr>
          </w:p>
        </w:tc>
        <w:tc>
          <w:tcPr>
            <w:tcW w:w="104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to GXO</w:t>
            </w:r>
          </w:p>
        </w:tc>
        <w:tc>
          <w:tcPr>
            <w:tcW w:w="0" w:type="dxa"/>
            <w:vAlign w:val="bottom"/>
          </w:tcPr>
          <w:p>
            <w:pPr>
              <w:spacing w:after="0"/>
              <w:rPr>
                <w:sz w:val="1"/>
                <w:szCs w:val="1"/>
                <w:color w:val="auto"/>
              </w:rPr>
            </w:pPr>
          </w:p>
        </w:tc>
      </w:tr>
      <w:tr>
        <w:trPr>
          <w:trHeight w:val="23"/>
        </w:trPr>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before reclassifications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9"/>
        </w:trPr>
        <w:tc>
          <w:tcPr>
            <w:tcW w:w="3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to 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amounts</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9"/>
        </w:trPr>
        <w:tc>
          <w:tcPr>
            <w:tcW w:w="30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0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Other comprehensive income (loss), net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tax</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4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 of September 30, 2026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of June 30, 2025</w:t>
      </w:r>
    </w:p>
    <w:p>
      <w:pPr>
        <w:spacing w:after="0" w:line="61"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7"/>
          <w:szCs w:val="17"/>
          <w:color w:val="auto"/>
        </w:rPr>
        <w:t>Other comprehensive income (loss) before reclassifications</w:t>
      </w:r>
    </w:p>
    <w:p>
      <w:pPr>
        <w:spacing w:after="0" w:line="1" w:lineRule="exact"/>
        <w:rPr>
          <w:sz w:val="20"/>
          <w:szCs w:val="20"/>
          <w:color w:val="auto"/>
        </w:rPr>
      </w:pPr>
    </w:p>
    <w:p>
      <w:pPr>
        <w:ind w:left="40" w:right="500"/>
        <w:spacing w:after="0" w:line="311" w:lineRule="auto"/>
        <w:rPr>
          <w:sz w:val="20"/>
          <w:szCs w:val="20"/>
          <w:color w:val="auto"/>
        </w:rPr>
      </w:pPr>
      <w:r>
        <w:rPr>
          <w:rFonts w:ascii="Times New Roman" w:cs="Times New Roman" w:eastAsia="Times New Roman" w:hAnsi="Times New Roman"/>
          <w:sz w:val="17"/>
          <w:szCs w:val="17"/>
          <w:color w:val="auto"/>
        </w:rPr>
        <w:t>Amounts reclassified to net income Tax amounts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Foreign Currency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1534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220" w:type="dxa"/>
            <w:vAlign w:val="bottom"/>
          </w:tcPr>
          <w:p>
            <w:pPr>
              <w:spacing w:after="0"/>
              <w:rPr>
                <w:sz w:val="15"/>
                <w:szCs w:val="15"/>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Defined</w:t>
            </w:r>
          </w:p>
        </w:tc>
        <w:tc>
          <w:tcPr>
            <w:tcW w:w="160" w:type="dxa"/>
            <w:vAlign w:val="bottom"/>
          </w:tcPr>
          <w:p>
            <w:pPr>
              <w:spacing w:after="0"/>
              <w:rPr>
                <w:sz w:val="15"/>
                <w:szCs w:val="15"/>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Less: AOCIL</w:t>
            </w:r>
          </w:p>
        </w:tc>
        <w:tc>
          <w:tcPr>
            <w:tcW w:w="140" w:type="dxa"/>
            <w:vAlign w:val="bottom"/>
          </w:tcPr>
          <w:p>
            <w:pPr>
              <w:spacing w:after="0"/>
              <w:rPr>
                <w:sz w:val="15"/>
                <w:szCs w:val="15"/>
                <w:color w:val="auto"/>
              </w:rPr>
            </w:pPr>
          </w:p>
        </w:tc>
        <w:tc>
          <w:tcPr>
            <w:tcW w:w="1060" w:type="dxa"/>
            <w:vAlign w:val="bottom"/>
            <w:vMerge w:val="restart"/>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AOCIL</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w w:val="97"/>
              </w:rPr>
              <w:t>Currency</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Translation</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Net Investment</w:t>
            </w:r>
          </w:p>
        </w:tc>
        <w:tc>
          <w:tcPr>
            <w:tcW w:w="2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Flow</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Benefit</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attributable to</w:t>
            </w:r>
          </w:p>
        </w:tc>
        <w:tc>
          <w:tcPr>
            <w:tcW w:w="140" w:type="dxa"/>
            <w:vAlign w:val="bottom"/>
          </w:tcPr>
          <w:p>
            <w:pPr>
              <w:spacing w:after="0"/>
              <w:rPr>
                <w:sz w:val="15"/>
                <w:szCs w:val="15"/>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attributable</w:t>
            </w: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2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NCI</w:t>
            </w:r>
          </w:p>
        </w:tc>
        <w:tc>
          <w:tcPr>
            <w:tcW w:w="140" w:type="dxa"/>
            <w:vAlign w:val="bottom"/>
          </w:tcPr>
          <w:p>
            <w:pPr>
              <w:spacing w:after="0"/>
              <w:rPr>
                <w:sz w:val="20"/>
                <w:szCs w:val="20"/>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9"/>
              </w:rPr>
              <w:t>to GXO</w:t>
            </w:r>
          </w:p>
        </w:tc>
        <w:tc>
          <w:tcPr>
            <w:tcW w:w="0" w:type="dxa"/>
            <w:vAlign w:val="bottom"/>
          </w:tcPr>
          <w:p>
            <w:pPr>
              <w:spacing w:after="0"/>
              <w:rPr>
                <w:sz w:val="1"/>
                <w:szCs w:val="1"/>
                <w:color w:val="auto"/>
              </w:rPr>
            </w:pPr>
          </w:p>
        </w:tc>
      </w:tr>
      <w:tr>
        <w:trPr>
          <w:trHeight w:val="226"/>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9"/>
        </w:trPr>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-306705</wp:posOffset>
            </wp:positionV>
            <wp:extent cx="710628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-786765</wp:posOffset>
            </wp:positionV>
            <wp:extent cx="710628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960" w:space="560"/>
            <w:col w:w="7700"/>
          </w:cols>
          <w:pgMar w:left="320" w:top="1400" w:right="359" w:bottom="1440" w:gutter="0" w:footer="0" w:header="0"/>
          <w:type w:val="continuous"/>
        </w:sectPr>
      </w:pPr>
    </w:p>
    <w:tbl>
      <w:tblPr>
        <w:tblLayout w:type="fixed"/>
        <w:tblInd w:w="40" w:type="dxa"/>
        <w:tblCellMar>
          <w:top w:w="0" w:type="dxa"/>
          <w:left w:w="0" w:type="dxa"/>
          <w:bottom w:w="0" w:type="dxa"/>
          <w:right w:w="0" w:type="dxa"/>
        </w:tblCellMar>
      </w:tblPr>
      <w:tr>
        <w:trPr>
          <w:trHeight w:val="251"/>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4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As of September 30, 2025</w:t>
            </w: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
        </w:trPr>
        <w:tc>
          <w:tcPr>
            <w:tcW w:w="3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of December 31, 2024</w:t>
      </w:r>
    </w:p>
    <w:p>
      <w:pPr>
        <w:spacing w:after="0" w:line="61"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7"/>
          <w:szCs w:val="17"/>
          <w:color w:val="auto"/>
        </w:rPr>
        <w:t>Other comprehensive income (loss) before reclassifications</w:t>
      </w:r>
    </w:p>
    <w:p>
      <w:pPr>
        <w:spacing w:after="0" w:line="1" w:lineRule="exact"/>
        <w:rPr>
          <w:sz w:val="20"/>
          <w:szCs w:val="20"/>
          <w:color w:val="auto"/>
        </w:rPr>
      </w:pPr>
    </w:p>
    <w:p>
      <w:pPr>
        <w:ind w:left="40" w:right="740"/>
        <w:spacing w:after="0" w:line="311" w:lineRule="auto"/>
        <w:rPr>
          <w:sz w:val="20"/>
          <w:szCs w:val="20"/>
          <w:color w:val="auto"/>
        </w:rPr>
      </w:pPr>
      <w:r>
        <w:rPr>
          <w:rFonts w:ascii="Times New Roman" w:cs="Times New Roman" w:eastAsia="Times New Roman" w:hAnsi="Times New Roman"/>
          <w:sz w:val="17"/>
          <w:szCs w:val="17"/>
          <w:color w:val="auto"/>
        </w:rPr>
        <w:t>Amounts reclassified to net loss Tax amounts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Foreign Currency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1534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220" w:type="dxa"/>
            <w:vAlign w:val="bottom"/>
          </w:tcPr>
          <w:p>
            <w:pPr>
              <w:spacing w:after="0"/>
              <w:rPr>
                <w:sz w:val="15"/>
                <w:szCs w:val="15"/>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Defined</w:t>
            </w:r>
          </w:p>
        </w:tc>
        <w:tc>
          <w:tcPr>
            <w:tcW w:w="160" w:type="dxa"/>
            <w:vAlign w:val="bottom"/>
          </w:tcPr>
          <w:p>
            <w:pPr>
              <w:spacing w:after="0"/>
              <w:rPr>
                <w:sz w:val="15"/>
                <w:szCs w:val="15"/>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Less: AOCIL</w:t>
            </w:r>
          </w:p>
        </w:tc>
        <w:tc>
          <w:tcPr>
            <w:tcW w:w="140" w:type="dxa"/>
            <w:vAlign w:val="bottom"/>
          </w:tcPr>
          <w:p>
            <w:pPr>
              <w:spacing w:after="0"/>
              <w:rPr>
                <w:sz w:val="15"/>
                <w:szCs w:val="15"/>
                <w:color w:val="auto"/>
              </w:rPr>
            </w:pPr>
          </w:p>
        </w:tc>
        <w:tc>
          <w:tcPr>
            <w:tcW w:w="1060" w:type="dxa"/>
            <w:vAlign w:val="bottom"/>
            <w:vMerge w:val="restart"/>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AOCIL</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1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w w:val="97"/>
              </w:rPr>
              <w:t>Currency</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Translation</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Net Investment</w:t>
            </w:r>
          </w:p>
        </w:tc>
        <w:tc>
          <w:tcPr>
            <w:tcW w:w="2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Flow</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Benefit</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attributable to</w:t>
            </w:r>
          </w:p>
        </w:tc>
        <w:tc>
          <w:tcPr>
            <w:tcW w:w="140" w:type="dxa"/>
            <w:vAlign w:val="bottom"/>
          </w:tcPr>
          <w:p>
            <w:pPr>
              <w:spacing w:after="0"/>
              <w:rPr>
                <w:sz w:val="15"/>
                <w:szCs w:val="15"/>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attributable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NCI</w:t>
            </w:r>
          </w:p>
        </w:tc>
        <w:tc>
          <w:tcPr>
            <w:tcW w:w="140" w:type="dxa"/>
            <w:vAlign w:val="bottom"/>
          </w:tcPr>
          <w:p>
            <w:pPr>
              <w:spacing w:after="0"/>
              <w:rPr>
                <w:sz w:val="18"/>
                <w:szCs w:val="18"/>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9"/>
              </w:rPr>
              <w:t>to GXO</w:t>
            </w:r>
          </w:p>
        </w:tc>
        <w:tc>
          <w:tcPr>
            <w:tcW w:w="0" w:type="dxa"/>
            <w:vAlign w:val="bottom"/>
          </w:tcPr>
          <w:p>
            <w:pPr>
              <w:spacing w:after="0"/>
              <w:rPr>
                <w:sz w:val="1"/>
                <w:szCs w:val="1"/>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9"/>
        </w:trPr>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-306705</wp:posOffset>
            </wp:positionV>
            <wp:extent cx="710628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-786765</wp:posOffset>
            </wp:positionV>
            <wp:extent cx="710628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960" w:space="560"/>
            <w:col w:w="7700"/>
          </w:cols>
          <w:pgMar w:left="320" w:top="1440" w:right="359" w:bottom="1440" w:gutter="0" w:footer="0" w:header="0"/>
        </w:sectPr>
      </w:pPr>
    </w:p>
    <w:tbl>
      <w:tblPr>
        <w:tblLayout w:type="fixed"/>
        <w:tblInd w:w="40" w:type="dxa"/>
        <w:tblCellMar>
          <w:top w:w="0" w:type="dxa"/>
          <w:left w:w="0" w:type="dxa"/>
          <w:bottom w:w="0" w:type="dxa"/>
          <w:right w:w="0" w:type="dxa"/>
        </w:tblCellMar>
      </w:tblPr>
      <w:tr>
        <w:trPr>
          <w:trHeight w:val="251"/>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4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As of September 30, 2025</w:t>
            </w: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2"/>
        </w:trPr>
        <w:tc>
          <w:tcPr>
            <w:tcW w:w="3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involved, and will continue to be involved, in numerous legal proceedings arising from the conduct of its business. These proceedings may include personal injury claims arising from the transportation and handling of goods, contractual disputes and employment-related claims, including alleged violations of wage and hour laws.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establishes accruals for specific legal proceedings when it is considered probable that a loss has been incurred and the amount of the loss can be reasonably estimated.</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related to these matters are expensed as they are incurred.</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14. Earnings (Loss) per Share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millions, shares in thousands, except per share amounts)</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4"/>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116,075</w:t>
            </w: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dilutive potential common shares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common shares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116,075</w:t>
            </w:r>
          </w:p>
        </w:tc>
      </w:tr>
      <w:tr>
        <w:trPr>
          <w:trHeight w:val="27"/>
        </w:trPr>
        <w:tc>
          <w:tcPr>
            <w:tcW w:w="4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4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Potentially dilutive shares outstanding of 718 thousand and 813 thousand for the three months ended September 30, 2026 and 2025, respectively, and 721 thousand and 3.4 million for the nine months ended September 30, 2026 and 2025, respectively, were excluded from the computation of diluted earnings per share because their effects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on Form 10-Q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the audited consolidated financial statements and notes thereto included in the Company’s Annual Report on Form 10-K for the fiscal year ended December 31, 2025, as filed with the SEC on February 25, 2026 (the “2025 Form 10-K”), and the unaudited condensed consolidated financial statements and related notes thereto included elsewhere in this Quarterly Report on Form 10-Q.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 Our customers rely on us to move their goods efficiently through their supply chains—from the moment goods arrive at our warehouses through fulfillment and distribution, and the management of returned products. Our customer base includes many blue-chip leaders across sectors with high growth and/or durable demand, with significant growth potential as customers outsource logistics services.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model is asset-light and historically resilient in cycles, with high returns, free cash flow, and visibility into revenue and earnings. Most of our customer contracts are long-term, and our warehouse lease arrangements generally align with their terms. The Company has both fixed-price contracts (closed-book or hybrid) and cost-plus contracts (open-book). Most of our customer contracts contain both fixed and variable components. The fixed component typically covers warehouse, technology, and equipment costs, while the variable component is based on expected volumes and associated labor costs. Under fixed-price contracts, the Company agrees to perform the specified work for a predetermined price. To the extent the Company’s actual costs vary from the estimates upon which the price was negotiated, the Company will generate more or less profit. Cost-plus contracts pay allowable costs incurred during contract performance, plus a specified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9"/>
                <w:szCs w:val="19"/>
                <w:color w:val="auto"/>
              </w:rPr>
            </w:pPr>
          </w:p>
        </w:tc>
        <w:tc>
          <w:tcPr>
            <w:tcW w:w="27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w:t>
            </w:r>
          </w:p>
        </w:tc>
      </w:tr>
      <w:tr>
        <w:trPr>
          <w:trHeight w:val="213"/>
        </w:trPr>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Direct operating expense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r>
      <w:tr>
        <w:trPr>
          <w:trHeight w:val="219"/>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3"/>
        </w:trPr>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9"/>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Restructuring costs and other</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Regulatory matter</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loss on divestiture of business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3"/>
        </w:trPr>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7"/>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
        </w:trPr>
        <w:tc>
          <w:tcPr>
            <w:tcW w:w="5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20"/>
                <w:szCs w:val="20"/>
                <w:color w:val="auto"/>
              </w:rPr>
            </w:pP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20"/>
                <w:szCs w:val="20"/>
                <w:color w:val="auto"/>
              </w:rPr>
            </w:pPr>
          </w:p>
        </w:tc>
        <w:tc>
          <w:tcPr>
            <w:tcW w:w="8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r>
      <w:tr>
        <w:trPr>
          <w:trHeight w:val="21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1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Revenues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5"/>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United Kingdom</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40"/>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46"/>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Netherlands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40"/>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France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46"/>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Spain</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40"/>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Italy</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43"/>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4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9,671</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2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Vertical</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5"/>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Omnichannel retail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02"/>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Technology and consumer</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0"/>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electronics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46"/>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Industrial and manufacturing</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40"/>
        </w:trPr>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Food and beverage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6"/>
        </w:trPr>
        <w:tc>
          <w:tcPr>
            <w:tcW w:w="2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packaged goods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40"/>
        </w:trPr>
        <w:tc>
          <w:tcPr>
            <w:tcW w:w="2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28.1 %</w:t>
            </w:r>
          </w:p>
        </w:tc>
      </w:tr>
      <w:tr>
        <w:trPr>
          <w:trHeight w:val="265"/>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September 30, 2026 increased $195 million, or 5.7%, compared with the three months ended September 30, 2025. Revenue for the nine months ended September 30, 2026 increased $658 million, or 6.8%, compared with the nine months ended September 30, 2025. For the three and nine months ended September 30, 2026, changes in foreign currency exchange rates had an unfavorable impact of $22 million and a favorable impact of $205 million, respectively, on revenue.</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Growth in both periods was broad-based across our regions and reflected new business wins and increased activity with existing customers, including continued growth in technology and data centers, aerospace and defense, industrials and life sciences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20"/>
                <w:szCs w:val="20"/>
                <w:color w:val="auto"/>
              </w:rPr>
            </w:pP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20"/>
                <w:szCs w:val="20"/>
                <w:color w:val="auto"/>
              </w:rPr>
            </w:pPr>
          </w:p>
        </w:tc>
        <w:tc>
          <w:tcPr>
            <w:tcW w:w="8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8"/>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operating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7.2 %  $</w:t>
            </w: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8,805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bl>
    <w:p>
      <w:pPr>
        <w:spacing w:after="0" w:line="3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Direct operating expense comprises both fixed and variable costs and include operating expenses related to our warehouse operations, including personnel costs, rent expenses, utility costs, equipment maintenance and repair costs, transportation costs, costs of materials and supplies, and information technology expenses.</w:t>
      </w:r>
    </w:p>
    <w:p>
      <w:pPr>
        <w:spacing w:after="0" w:line="20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Direct operating expense for the three months ended September 30, 2026 increased $207 million, or 7.2%, compared with the three months ended September 30, 2025. Direct operating expense for the nine months ended September 30, 2026 increased $577 million, or 7.0%, compared with the nine months ended September 30, 2025. Direct operating expense, as a percentage of revenue, was 85.3% for the three months ended September 30, 2026, compared with 84.2% for the three months ended September 30, 2025, and 85.2% for the nine months ended September 30, 2026, compared with 85.1% for the nine months ended September 30, 2025.</w:t>
      </w:r>
    </w:p>
    <w:p>
      <w:pPr>
        <w:spacing w:after="0" w:line="2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increases primarily reflected higher labor and other operating costs associated with revenue growth and new customer start-ups, including costs incurred as new operations ramped toward expected productivity levels, as well as changes in customer and business mix. These increases were partially offset by productivity and cost-management initiatives across our operations and, for the nine-month period of 2026, a $30 million benefit from a real estate transaction.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gridSpan w:val="4"/>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8"/>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 expense</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818</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r>
    </w:tbl>
    <w:p>
      <w:pPr>
        <w:spacing w:after="0" w:line="30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SG&amp;A expense primarily consists of salary and benefit costs for executive and certain administrative functions, professional fees, bad-debt expense and legal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 remained relatively consistent for the three months ended September 30, 2026, compared with the three months ended September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 for the nine months ended September 30, 2026 increased $58 million, or 7.1%, compared with the nine months ended September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 as a percentage of revenue, was 7.9% for the three months ended September 30, 2026, compared with 8.4%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8.5% for both the nine months ended September 30, 2026 and 2025.</w:t>
      </w:r>
    </w:p>
    <w:p>
      <w:pPr>
        <w:spacing w:after="0" w:line="23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three-month comparison primarily reflected synergies associated with the Wincanton acquisition, offset by investments in information technology and transformation initiatives. For the nine-month period, the increase in SG&amp;A expense was primarily driven by higher salaries and benefits and investments in information technology and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4" w:name="page25"/>
    <w:bookmarkEnd w:id="24"/>
    <w:p>
      <w:pPr>
        <w:ind w:right="200"/>
        <w:spacing w:after="0" w:line="282" w:lineRule="auto"/>
        <w:rPr>
          <w:sz w:val="20"/>
          <w:szCs w:val="20"/>
          <w:color w:val="auto"/>
        </w:rPr>
      </w:pPr>
      <w:r>
        <w:rPr>
          <w:rFonts w:ascii="Times New Roman" w:cs="Times New Roman" w:eastAsia="Times New Roman" w:hAnsi="Times New Roman"/>
          <w:sz w:val="18"/>
          <w:szCs w:val="18"/>
          <w:color w:val="auto"/>
        </w:rPr>
        <w:t>transformation initiatives, partially offset by synergies associated with the Wincanton acquisition. As a percentage of revenue, these increases were offset by operating leverage from revenue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(D&amp;A)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gridSpan w:val="4"/>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D&amp;A expense</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115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118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337</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3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D&amp;A expense for the three months ended September 30, 2026 decreased $3 million, or 2.5%, compared with the three months ended September 30, 2025. D&amp;A expense for the nine months ended September 30, 2026 increased $10 million, or 3.0%, compared with the nine months ended September 30, 2025, primarily due to capital investments supporting business growth.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costs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20"/>
                <w:szCs w:val="20"/>
                <w:color w:val="auto"/>
              </w:rPr>
            </w:pP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85.7 %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bl>
    <w:p>
      <w:pPr>
        <w:spacing w:after="0" w:line="30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Transaction and integration costs increased $12 million, or 85.7%, for the three months ended September 30, 2026, and increased $4 million, or 8.0%, for the nine months ended September 30, 2026, compared with the corresponding periods in 2025. The increases reflected costs associated with the 2026 integration of Wincanton and the divestiture of certain grocery contracts in the U.K. (the “Wincanton Divestment”), compared with costs associated with the Wincanton acquisition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 and other</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5"/>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9"/>
                <w:szCs w:val="19"/>
                <w:color w:val="auto"/>
              </w:rPr>
            </w:pP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19"/>
                <w:szCs w:val="19"/>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 and other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bl>
    <w:p>
      <w:pPr>
        <w:spacing w:after="0" w:line="3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Restructuring costs and other were $3 million for both the three months ended September 30, 2026 and 2025. For the nine months ended September 30, 2026 and 2025, restructuring costs and other were $11 million and $22 million, respectively. Restructuring costs and other primarily consisted of severance and other costs associated with initiatives to optimize corporate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gridSpan w:val="4"/>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matter</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  $</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3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Regulatory matter expense for the nine months ended September 30, 2025 was $65 million and related to the deductibility of value-added tax payments made to certain third-party service providers. The matter was settled in 2025.</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divestiture of business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6"/>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5"/>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19"/>
                <w:szCs w:val="19"/>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on divestiture of business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3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loss on divestiture of business was $1 million and $24 million for the three and nine months ended September 30, 2026, respectively. These losses relate to impairments resulting from reductions in the estimated fair value of the business associated with the Wincanton Divestment. For additional information, see Note 9. “Divestiture,” to the Unaudited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20"/>
                <w:szCs w:val="20"/>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Pr>
          <w:p>
            <w:pPr>
              <w:spacing w:after="0"/>
              <w:rPr>
                <w:sz w:val="20"/>
                <w:szCs w:val="20"/>
                <w:color w:val="auto"/>
              </w:rPr>
            </w:pPr>
          </w:p>
        </w:tc>
      </w:tr>
      <w:tr>
        <w:trPr>
          <w:trHeight w:val="214"/>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140.0 %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(380.0)%</w:t>
            </w:r>
          </w:p>
        </w:tc>
      </w:tr>
    </w:tbl>
    <w:p>
      <w:pPr>
        <w:spacing w:after="0" w:line="3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2026 was $12 million, compared with $5 million for the three months ended September 30, 2025. Other income, net for the nine months ended September 30, 2026 was $28 million, compared with other expense, net of $10 million for the nine months ended September 30, 2025, primarily reflecting higher foreign currency gains and higher pension income in the nine months ended September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gridSpan w:val="4"/>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20"/>
                <w:szCs w:val="20"/>
                <w:color w:val="auto"/>
              </w:rPr>
            </w:pPr>
          </w:p>
        </w:tc>
      </w:tr>
      <w:tr>
        <w:trPr>
          <w:trHeight w:val="214"/>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3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net was $36 million for the three months ended September 30, 2026, compared with $35 million for the three months ended September 30, 2025. Interest expense, net was $103 million for both the nine months ended September 30,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5"/>
        </w:trPr>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9"/>
                <w:szCs w:val="19"/>
                <w:color w:val="auto"/>
              </w:rPr>
            </w:pP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19"/>
                <w:szCs w:val="19"/>
                <w:color w:val="auto"/>
              </w:rPr>
            </w:pPr>
          </w:p>
        </w:tc>
      </w:tr>
      <w:tr>
        <w:trPr>
          <w:trHeight w:val="214"/>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2"/>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3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rate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3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2026 decreased $21 million, or 75.0%, compared with the three months ended September 30, 2025. Our effective tax rate was 10.2% for the three months ended September 30, 2026, compared with 31.2% for the three months ended September 30, 2025, primarily reflecting tax benefits related to the Wincanton Divestment and higher deferred tax benefits.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6" w:name="page27"/>
    <w:bookmarkEnd w:id="2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2026 decreased $5 million, or 11.1%, compared with the nine months ended September 30, 2025. Our effective tax rate was 29.2% for the nine months ended September 30, 2026, compared with 118.1% for the nine months ended September 30, 2025, primarily reflecting the non-recurrence of non-deductible litigation costs incurred in 2025 and higher deferred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cash and cash equivalents on hand, borrowing capacity under our revolving credit facility and our factoring programs. Our principal uses of cash include funding operations and working capital, capital expenditures, repayment of borrowings, strategic business development transactions and repurchases of our common stock. The timing and magnitude of new contract start-ups may positively or negatively affect our cash flows and working capital requirements.</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September 30, 2026, we had $340 million of cash and cash equivalents and $793 million of borrowing capacity, net of letters of credit, under our revolving credit facility, providing approximately $1.1 billion of available liquidity. We also had $3 million of restricted cash. Total consolidated indebtedness was $2.8 billion as of September 30, 2026.</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2025, our board of directors authorized the repurchase of up to $500 million of our common stock (the “Repurchase Plan”). For the nine months ended September 30, 2026, we repurchased approximately 2.1 million shares for an aggregate purchase price of $101 million, including $100 million of share repurchases and $1 million of excise tax. As of September 30, 2026, $200 million remained authorized under the Repurchase Plan. The timing and amount of any future repurchases will be determined by management based on market conditions, liquidity needs and other relevant considerations. The Repurchase Plan does not obligate us to repurchase any specific number of shares and may be suspended or discontinued at any time.</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material cash requirements include operating and working capital requirements, debt principal and interest payments, lease obligations, capital expenditures and other contractual commitments. The timing and amount of capital expenditures and working capital requirements may vary based on the timing and magnitude of new customer start-ups and investments in automation and technology solutions. We expect capital expenditures in 2026 to be approximately $269 million to $305 million.</w:t>
      </w:r>
    </w:p>
    <w:p>
      <w:pPr>
        <w:spacing w:after="0" w:line="20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For additional information regarding our cash requirements from lease obligations, indebtedness and other contractual obligations, see Note 4. “Leases,” Note 7. “Debt and Financing Arrangements,” and Note 13. “Commitments and Contingencies,” to the Unaudited Condensed Consolidated Financial Statements.</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believe that cash and cash equivalents on hand, cash generated from operations, borrowing capacity under our revolving credit facility, our factoring programs and access to capital markets will be sufficient to meet our short-term liquidity requirements, including repayment of the current portion of our debt, for at least the next 12 months. We also expect these sources to be sufficient to meet our long-term liquidity requirements, although our long-term liquidity needs will depend on, among other factors, the timing and magnitude of new contract start-ups, capital expenditures, debt maturities, strategic transactions and share repurchases.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covenants governing our debt securities limit our ability to incur indebtedness and grant liens, among other restrictions. Our revolving credit facility generally requires us to maintain a consolidated leverage ratio of no greater than 3.50 to 1.00, which may increase to 4.25 to 1.00 following the consummation of a material acquisition. The consolidated leverage ratio may not exceed 3.50 to 1.00 for more than five consecutive fiscal quarters. As of September 30, 2026, we were in compliance with the covenants contained in our debt and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Cash Flow Activity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3"/>
          </w:tcPr>
          <w:p>
            <w:pPr>
              <w:jc w:val="center"/>
              <w:ind w:left="516"/>
              <w:spacing w:after="0"/>
              <w:rPr>
                <w:sz w:val="20"/>
                <w:szCs w:val="20"/>
                <w:color w:val="auto"/>
              </w:rPr>
            </w:pPr>
            <w:r>
              <w:rPr>
                <w:rFonts w:ascii="Times New Roman" w:cs="Times New Roman" w:eastAsia="Times New Roman" w:hAnsi="Times New Roman"/>
                <w:sz w:val="17"/>
                <w:szCs w:val="17"/>
                <w:b w:val="1"/>
                <w:bCs w:val="1"/>
                <w:color w:val="auto"/>
                <w:w w:val="97"/>
              </w:rPr>
              <w:t>Increase</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80" w:type="dxa"/>
            <w:vAlign w:val="bottom"/>
          </w:tcPr>
          <w:p>
            <w:pPr>
              <w:spacing w:after="0"/>
              <w:rPr>
                <w:sz w:val="19"/>
                <w:szCs w:val="19"/>
                <w:color w:val="auto"/>
              </w:rPr>
            </w:pPr>
          </w:p>
        </w:tc>
        <w:tc>
          <w:tcPr>
            <w:tcW w:w="1680" w:type="dxa"/>
            <w:vAlign w:val="bottom"/>
            <w:gridSpan w:val="3"/>
          </w:tcPr>
          <w:p>
            <w:pPr>
              <w:jc w:val="center"/>
              <w:ind w:left="536"/>
              <w:spacing w:after="0"/>
              <w:rPr>
                <w:sz w:val="20"/>
                <w:szCs w:val="20"/>
                <w:color w:val="auto"/>
              </w:rPr>
            </w:pPr>
            <w:r>
              <w:rPr>
                <w:rFonts w:ascii="Times New Roman" w:cs="Times New Roman" w:eastAsia="Times New Roman" w:hAnsi="Times New Roman"/>
                <w:sz w:val="17"/>
                <w:szCs w:val="17"/>
                <w:b w:val="1"/>
                <w:bCs w:val="1"/>
                <w:color w:val="auto"/>
                <w:w w:val="96"/>
              </w:rPr>
              <w:t>(Decrease)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 except percentages)</w:t>
            </w:r>
          </w:p>
        </w:tc>
        <w:tc>
          <w:tcPr>
            <w:tcW w:w="10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2"/>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5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5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0" w:type="dxa"/>
            <w:vAlign w:val="bottom"/>
          </w:tcPr>
          <w:p>
            <w:pPr>
              <w:spacing w:after="0"/>
              <w:rPr>
                <w:sz w:val="1"/>
                <w:szCs w:val="1"/>
                <w:color w:val="auto"/>
              </w:rPr>
            </w:pPr>
          </w:p>
        </w:tc>
      </w:tr>
      <w:tr>
        <w:trPr>
          <w:trHeight w:val="254"/>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restricted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$263 million for the nine months ended September 30, 2026, compared with $264 million for the nine months ended September 30, 2025. The change primarily reflected higher net income of $104 million and favorable changes in accounts payable of $87 million and accrued expenses and other liabilities of $33 million, primarily due to timing. These benefits were offset by unfavorable changes in accounts receivable of $139 million, primarily due to the timing of collections, and other assets of $79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our factoring programs was $21 million and $51 million for the nine months ended September 30, 2026 and 2025,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Net cash used in investing activities was $235 million for the nine months ended September 30, 2026, compared with $169 million for the nine months ended September 30, 2025. The increase of $66 million primarily reflected lower proceeds from sales of property and equipment of $94 million and higher cash paid in connection with the Wincanton Divestment of $38 million in the current year, partially offset by lower capital expenditures of $65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$536 million for the nine months ended September 30, 2026, compared with $266 million for the nine months ended September 30, 2025. The increase of $270 million primarily reflected an increase in the repayment of long-term and other debt of $345 million, partially offset by lower cash paid for common stock repurchases and related excise tax of $98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Guaranteed Securities: Summarized Financial Information</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information is provided to comply with Rule 13-01 of Regulation S-X under the Exchange Act for the €500 million 3.750% notes due 2030 issued by GXO Logistics Capital B.V. (“GXO Capital”), a subsidiary of the Company incorporated under the laws of the Netherlands. GXO Capital was incorporated in October 2025.</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€500 million 3.750% notes due 2030 are fully and unconditionally guaranteed on an unsecured and unsubordinated basis by GXO Logistics, Inc. (“GXO”). The €500 million 3.750% notes due 2030 are not guaranteed by any of GXO’s or GXO Capital’s subsidiaries (all GXO subsidiaries other than GXO Capital are referred to herein as "non-guarantor subsidiaries"). Holders of the €500 million 3.750% notes due 2030 will have a direct claim only against GXO Capital, as issuer, and GXO, as guarantor.</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summarized financial information for the nine months ended September 30, 2026, and as of September 30, 2026 and December 31, 2025, of GXO and GXO Capital, on a standalone basis, which does not include the consolidated impact of the assets, liabilities, and financial results of their subsidiaries except as noted in the tables below, nor does it include any impact of intercompany eliminations as there were no intercompany transactions between GXO and GXO Capital. This summarized financial information is not intended to present the financial position or results of operations of GXO or GXO Capital in accordance with U.S. generally accepted accounting principles.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GXO</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Summarized Results of Operations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Standalone and Unconsolidated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3"/>
                <w:szCs w:val="23"/>
                <w:color w:val="auto"/>
              </w:rPr>
            </w:pPr>
          </w:p>
        </w:tc>
        <w:tc>
          <w:tcPr>
            <w:tcW w:w="2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7"/>
        </w:trPr>
        <w:tc>
          <w:tcPr>
            <w:tcW w:w="8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income and other income from non-guarantor subsidiaries</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8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 from non-guarantor subsidiaries</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88"/>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GXO standalone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GXO</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Summarized Assets and Liabilities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Standalone and Unconsolidated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non-guarantor subsidiaries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non-guarantor subsidiaries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to non-guarantor subsidiaries</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to non-guarantor subsidiaries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GXO Capital</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Summarized Results of Operations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Standalone and Unconsolidated (Unaudited)</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GXO Capital standalone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GXO Capital</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Summarized Assets and Liabilities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Standalone and Unconsolidated (Unaudited)</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CCEEFF"/>
            </w:tcBorders>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non-guarantor subsidiaries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gridSpan w:val="2"/>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CCEEFF"/>
            </w:tcBorders>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6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Changes in our contractual obligations since December 31, 2025, primarily reflect changes in debt and lease obligations, as further described in Note 4. “Leases,” and Note 7. “Debt and Financing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as previously disclosed in “Critical Accounting Policies” in Part II, Item 7 of our 2025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new accounting standards is included in Note 1. “Basis of Presentation” in Part I, Item 1 of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2780"/>
        <w:spacing w:after="0" w:line="257" w:lineRule="auto"/>
        <w:rPr>
          <w:sz w:val="20"/>
          <w:szCs w:val="20"/>
          <w:color w:val="auto"/>
        </w:rPr>
      </w:pPr>
      <w:r>
        <w:rPr>
          <w:rFonts w:ascii="Times New Roman" w:cs="Times New Roman" w:eastAsia="Times New Roman" w:hAnsi="Times New Roman"/>
          <w:sz w:val="18"/>
          <w:szCs w:val="18"/>
          <w:color w:val="auto"/>
        </w:rPr>
        <w:t>We are exposed to market risk that may impact our Condensed Consolidated Financial Statements primarily due to variable-rate debt and fluctuations in certain foreign currencies. To reduce our exposure to market risk associated with interest and foreign currency exchange rate risks, we enter into various derivative instruments. There have been</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no material changes to our exposure to market risk for the nine months ended September 30, 2026, from those previously disclosed in “Quantitative and Qualitative Disclosures About Market Risk” contained in Part II, Item 7A of our Form 10-K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(the “Exchange Act”), as of September 30, 2026. Based on that evaluation, our CEO and CFO concluded that our disclosure controls and procedures as of September 30, 2026,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our most recently completed fiscal quarter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“Commitments and Contingencies,” in Part I, Item 1 of this Quarterly Report on Form 10-Q for a description of our legal proceedings.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the risk factors as previously disclosed in “Risk Factors” contained in Part I, Item 1A of our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18, 2025, the Company’s board of directors authorized and announced the repurchase of up to $500 million of its common stock (the “Repurchase Plan”). The Repurchase Plan permits shares of common stock to be repurchased from time to time in management’s discretion, through a variety of methods, including a 10b5-1 trading plan, open market purchases, privately negotiated transactions or otherwise. The Repurchase Plan does not obligate the Company to repurchase any specific number of shares of common stock and may be suspended or discontinued at any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repurchase activity on a cash basis during the third quarter of 2026:</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rPr>
              <w:t>Total Number of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99"/>
              </w:rPr>
              <w:t>Average Price Paid per</w:t>
            </w:r>
          </w:p>
        </w:tc>
      </w:tr>
      <w:tr>
        <w:trPr>
          <w:trHeight w:val="251"/>
        </w:trPr>
        <w:tc>
          <w:tcPr>
            <w:tcW w:w="28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Period</w:t>
            </w:r>
          </w:p>
        </w:tc>
        <w:tc>
          <w:tcPr>
            <w:tcW w:w="100" w:type="dxa"/>
            <w:vAlign w:val="bottom"/>
          </w:tcPr>
          <w:p>
            <w:pPr>
              <w:spacing w:after="0"/>
              <w:rPr>
                <w:sz w:val="21"/>
                <w:szCs w:val="21"/>
                <w:color w:val="auto"/>
              </w:rPr>
            </w:pPr>
          </w:p>
        </w:tc>
        <w:tc>
          <w:tcPr>
            <w:tcW w:w="1980" w:type="dxa"/>
            <w:vAlign w:val="bottom"/>
            <w:tcBorders>
              <w:bottom w:val="single" w:sz="8" w:color="auto"/>
            </w:tcBorders>
          </w:tcPr>
          <w:p>
            <w:pPr>
              <w:jc w:val="right"/>
              <w:ind w:right="492"/>
              <w:spacing w:after="0" w:line="251" w:lineRule="exact"/>
              <w:rPr>
                <w:sz w:val="20"/>
                <w:szCs w:val="20"/>
                <w:color w:val="auto"/>
              </w:rPr>
            </w:pPr>
            <w:r>
              <w:rPr>
                <w:rFonts w:ascii="Times New Roman" w:cs="Times New Roman" w:eastAsia="Times New Roman" w:hAnsi="Times New Roman"/>
                <w:sz w:val="17"/>
                <w:szCs w:val="17"/>
                <w:color w:val="auto"/>
              </w:rPr>
              <w:t>Purchased</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52"/>
              <w:spacing w:after="0" w:line="251" w:lineRule="exact"/>
              <w:rPr>
                <w:sz w:val="20"/>
                <w:szCs w:val="20"/>
                <w:color w:val="auto"/>
              </w:rPr>
            </w:pPr>
            <w:r>
              <w:rPr>
                <w:rFonts w:ascii="Times New Roman" w:cs="Times New Roman" w:eastAsia="Times New Roman" w:hAnsi="Times New Roman"/>
                <w:sz w:val="17"/>
                <w:szCs w:val="17"/>
                <w:color w:val="auto"/>
              </w:rPr>
              <w:t>Share</w:t>
            </w:r>
            <w:r>
              <w:rPr>
                <w:rFonts w:ascii="Times New Roman" w:cs="Times New Roman" w:eastAsia="Times New Roman" w:hAnsi="Times New Roman"/>
                <w:sz w:val="22"/>
                <w:szCs w:val="22"/>
                <w:color w:val="auto"/>
                <w:vertAlign w:val="superscript"/>
              </w:rPr>
              <w:t>(2)</w:t>
            </w:r>
          </w:p>
        </w:tc>
      </w:tr>
      <w:tr>
        <w:trPr>
          <w:trHeight w:val="23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Approximate Dollar Value of</w:t>
            </w:r>
          </w:p>
        </w:tc>
      </w:tr>
      <w:tr>
        <w:trPr>
          <w:trHeight w:val="203"/>
        </w:trPr>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Total Number of Shares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right"/>
              <w:ind w:right="192"/>
              <w:spacing w:after="0"/>
              <w:rPr>
                <w:sz w:val="20"/>
                <w:szCs w:val="20"/>
                <w:color w:val="auto"/>
              </w:rPr>
            </w:pPr>
            <w:r>
              <w:rPr>
                <w:rFonts w:ascii="Times New Roman" w:cs="Times New Roman" w:eastAsia="Times New Roman" w:hAnsi="Times New Roman"/>
                <w:sz w:val="17"/>
                <w:szCs w:val="17"/>
                <w:color w:val="auto"/>
              </w:rPr>
              <w:t>Shares that May Yet be</w:t>
            </w:r>
          </w:p>
        </w:tc>
      </w:tr>
      <w:tr>
        <w:trPr>
          <w:trHeight w:val="203"/>
        </w:trPr>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Purchased as Part of Publicly</w:t>
            </w:r>
          </w:p>
        </w:tc>
        <w:tc>
          <w:tcPr>
            <w:tcW w:w="8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Purchased Under the Plans or</w:t>
            </w:r>
          </w:p>
        </w:tc>
      </w:tr>
      <w:tr>
        <w:trPr>
          <w:trHeight w:val="265"/>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Announced Plans or Programs</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7"/>
                <w:szCs w:val="17"/>
                <w:color w:val="auto"/>
              </w:rPr>
              <w:t>Programs</w:t>
            </w:r>
            <w:r>
              <w:rPr>
                <w:rFonts w:ascii="Times New Roman" w:cs="Times New Roman" w:eastAsia="Times New Roman" w:hAnsi="Times New Roman"/>
                <w:sz w:val="22"/>
                <w:szCs w:val="22"/>
                <w:color w:val="auto"/>
                <w:vertAlign w:val="superscript"/>
              </w:rPr>
              <w:t>(2)(3)</w:t>
            </w:r>
          </w:p>
        </w:tc>
      </w:tr>
      <w:tr>
        <w:trPr>
          <w:trHeight w:val="237"/>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278,772,147</w:t>
            </w:r>
          </w:p>
        </w:tc>
      </w:tr>
      <w:tr>
        <w:trPr>
          <w:trHeight w:val="270"/>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201,445,802</w:t>
            </w:r>
          </w:p>
        </w:tc>
      </w:tr>
      <w:tr>
        <w:trPr>
          <w:trHeight w:val="270"/>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200,000,020</w:t>
            </w: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6780" w:space="100"/>
            <w:col w:w="4360"/>
          </w:cols>
          <w:pgMar w:left="320" w:top="1413" w:right="339" w:bottom="1440" w:gutter="0" w:footer="0" w:header="0"/>
          <w:type w:val="continuous"/>
        </w:sect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transactions are reported on a trade date basis.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paid per share and the approximate dollar value of shares that may yet be purchased under the Repurchase Plan exclude the costs associated with the repurchases and 1%</w:t>
      </w:r>
    </w:p>
    <w:p>
      <w:pPr>
        <w:spacing w:after="0" w:line="11" w:lineRule="exact"/>
        <w:rPr>
          <w:sz w:val="20"/>
          <w:szCs w:val="20"/>
          <w:color w:val="auto"/>
        </w:rPr>
      </w:pPr>
    </w:p>
    <w:p>
      <w:pPr>
        <w:ind w:left="180" w:right="80"/>
        <w:spacing w:after="0" w:line="261" w:lineRule="auto"/>
        <w:rPr>
          <w:sz w:val="20"/>
          <w:szCs w:val="20"/>
          <w:color w:val="auto"/>
        </w:rPr>
      </w:pPr>
      <w:r>
        <w:rPr>
          <w:rFonts w:ascii="Times New Roman" w:cs="Times New Roman" w:eastAsia="Times New Roman" w:hAnsi="Times New Roman"/>
          <w:sz w:val="14"/>
          <w:szCs w:val="14"/>
          <w:color w:val="auto"/>
        </w:rPr>
        <w:t>excise tax imposed by the United States government-enacted Inflation Reduction Act of 2022 on share repurchases in excess of issuances. We reflect the costs associated with the repurchase and the 1% excise tax within equity as part of the repurchase cost of the common stock. For additional information regarding the Repurchase Plan, see Note 12. “Stockholders’ Equity” in Part I, Item 1 of this Quarterly Report on Form 10-Q.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Approximate dollar value of shares that may yet be purchased under the Repurchase Plan at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9880" w:type="dxa"/>
            <w:vAlign w:val="bottom"/>
            <w:gridSpan w:val="10"/>
          </w:tcPr>
          <w:p>
            <w:pPr>
              <w:ind w:left="45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9"/>
        </w:trPr>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80" w:type="dxa"/>
            <w:vAlign w:val="bottom"/>
            <w:tcBorders>
              <w:top w:val="single" w:sz="8" w:color="auto"/>
            </w:tcBorders>
            <w:gridSpan w:val="1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Offer Letter, dated August 18, 2026, between Christina Carvalho and GXO Logistics, Inc. (incorporated by reference to Exhibit 10.1 of the Company’s</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Current Report on Form 8-K (Commission file no. 001-40470) filed with the SEC on August 20, 2026).</w:t>
              </w:r>
            </w:hyperlink>
          </w:p>
        </w:tc>
        <w:tc>
          <w:tcPr>
            <w:tcW w:w="8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6"/>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gridSpan w:val="10"/>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Subsidiary Guarantors and Issuers of Guaranteed Securities (incorporated by reference to Exhibit 22.1 to the Company's Annual Report on Form 10-K</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(Commission file no. 001-40470) filed with the SEC on February 25, 2026).</w:t>
              </w:r>
            </w:hyperlink>
          </w:p>
        </w:tc>
        <w:tc>
          <w:tcPr>
            <w:tcW w:w="120" w:type="dxa"/>
            <w:vAlign w:val="bottom"/>
            <w:gridSpan w:val="2"/>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37"/>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pursuant to Section 302 of the Sarbanes-Oxley Act of 2002, with respect to the registrant’s Quarterly</w:t>
            </w: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rPr>
              <w:t>Report on Form 10-Q for the fiscal quarter ended September 30, 2026.</w:t>
            </w:r>
          </w:p>
        </w:tc>
        <w:tc>
          <w:tcPr>
            <w:tcW w:w="50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r>
      <w:tr>
        <w:trPr>
          <w:trHeight w:val="237"/>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the Principal Financial Officer pursuant to Section 302 of the Sarbanes-Oxley Act of 2002, with respect to the registrant’s Quarterly</w:t>
            </w: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rPr>
              <w:t>Report on Form 10-Q for the fiscal quarter ended September 30, 2026.</w:t>
            </w:r>
          </w:p>
        </w:tc>
        <w:tc>
          <w:tcPr>
            <w:tcW w:w="50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r>
      <w:tr>
        <w:trPr>
          <w:trHeight w:val="236"/>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Pursuant to Section 906 of the Sarbanes-Oxley Act of 2002, with respect to the registrant’s Quarterly</w:t>
            </w: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rPr>
              <w:t>Report on Form 10-Q for the fiscal quarter ended September 30, 2026.</w:t>
            </w:r>
          </w:p>
        </w:tc>
        <w:tc>
          <w:tcPr>
            <w:tcW w:w="5060" w:type="dxa"/>
            <w:vAlign w:val="bottom"/>
            <w:tcBorders>
              <w:top w:val="single" w:sz="8" w:color="0000FF"/>
            </w:tcBorders>
            <w:gridSpan w:val="6"/>
          </w:tcPr>
          <w:p>
            <w:pPr>
              <w:spacing w:after="0"/>
              <w:rPr>
                <w:sz w:val="14"/>
                <w:szCs w:val="14"/>
                <w:color w:val="auto"/>
              </w:rPr>
            </w:pPr>
          </w:p>
        </w:tc>
        <w:tc>
          <w:tcPr>
            <w:tcW w:w="240" w:type="dxa"/>
            <w:vAlign w:val="bottom"/>
            <w:gridSpan w:val="3"/>
          </w:tcPr>
          <w:p>
            <w:pPr>
              <w:spacing w:after="0"/>
              <w:rPr>
                <w:sz w:val="14"/>
                <w:szCs w:val="14"/>
                <w:color w:val="auto"/>
              </w:rPr>
            </w:pPr>
          </w:p>
        </w:tc>
      </w:tr>
      <w:tr>
        <w:trPr>
          <w:trHeight w:val="236"/>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the Principal Financial Officer Pursuant to Section 906 of the Sarbanes-Oxley Act of 2002, with respect to the registrant’s Quarterly</w:t>
            </w: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rPr>
              <w:t>Report on Form 10-Q for the fiscal quarter ended September 30, 2026.</w:t>
            </w:r>
          </w:p>
        </w:tc>
        <w:tc>
          <w:tcPr>
            <w:tcW w:w="5020" w:type="dxa"/>
            <w:vAlign w:val="bottom"/>
            <w:tcBorders>
              <w:top w:val="single" w:sz="8" w:color="0000FF"/>
            </w:tcBorders>
            <w:gridSpan w:val="4"/>
          </w:tcPr>
          <w:p>
            <w:pPr>
              <w:spacing w:after="0"/>
              <w:rPr>
                <w:sz w:val="14"/>
                <w:szCs w:val="14"/>
                <w:color w:val="auto"/>
              </w:rPr>
            </w:pPr>
          </w:p>
        </w:tc>
        <w:tc>
          <w:tcPr>
            <w:tcW w:w="280" w:type="dxa"/>
            <w:vAlign w:val="bottom"/>
            <w:gridSpan w:val="5"/>
          </w:tcPr>
          <w:p>
            <w:pPr>
              <w:spacing w:after="0"/>
              <w:rPr>
                <w:sz w:val="14"/>
                <w:szCs w:val="14"/>
                <w:color w:val="auto"/>
              </w:rPr>
            </w:pPr>
          </w:p>
        </w:tc>
      </w:tr>
      <w:tr>
        <w:trPr>
          <w:trHeight w:val="271"/>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3"/>
                <w:szCs w:val="23"/>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43"/>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43"/>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2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43"/>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43"/>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2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43"/>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43"/>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33" w:lineRule="exact"/>
        <w:rPr>
          <w:sz w:val="20"/>
          <w:szCs w:val="20"/>
          <w:color w:val="auto"/>
        </w:rPr>
      </w:pPr>
    </w:p>
    <w:p>
      <w:pPr>
        <w:ind w:left="1360" w:hanging="785"/>
        <w:spacing w:after="0"/>
        <w:tabs>
          <w:tab w:leader="none" w:pos="1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59" w:lineRule="exact"/>
        <w:rPr>
          <w:sz w:val="20"/>
          <w:szCs w:val="20"/>
          <w:color w:val="auto"/>
        </w:rPr>
      </w:pPr>
    </w:p>
    <w:p>
      <w:pPr>
        <w:ind w:left="1360" w:hanging="826"/>
        <w:spacing w:after="0"/>
        <w:tabs>
          <w:tab w:leader="none" w:pos="1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59" w:lineRule="exact"/>
        <w:rPr>
          <w:sz w:val="20"/>
          <w:szCs w:val="20"/>
          <w:color w:val="auto"/>
        </w:rPr>
      </w:pPr>
    </w:p>
    <w:p>
      <w:pPr>
        <w:ind w:left="1360" w:hanging="790"/>
        <w:spacing w:after="0"/>
        <w:tabs>
          <w:tab w:leader="none" w:pos="1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is a management contract or compensatory plan or arrangement.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37" w:lineRule="exact"/>
        <w:rPr>
          <w:sz w:val="20"/>
          <w:szCs w:val="20"/>
          <w:color w:val="auto"/>
        </w:rPr>
      </w:pPr>
    </w:p>
    <w:p>
      <w:pPr>
        <w:ind w:left="20"/>
        <w:spacing w:after="0"/>
        <w:tabs>
          <w:tab w:leader="none" w:pos="5560" w:val="left"/>
          <w:tab w:leader="none" w:pos="63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34290</wp:posOffset>
            </wp:positionV>
            <wp:extent cx="3111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Patrick Kelleher</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20"/>
        <w:spacing w:after="0"/>
        <w:tabs>
          <w:tab w:leader="none" w:pos="5560" w:val="left"/>
          <w:tab w:leader="none" w:pos="63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Suchinski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34290</wp:posOffset>
            </wp:positionV>
            <wp:extent cx="3111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Mark Suchinski</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80"/>
          </w:cols>
          <w:pgMar w:left="320" w:top="1413" w:right="12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Patrick Kelleher, certify that:</w:t>
      </w:r>
    </w:p>
    <w:p>
      <w:pPr>
        <w:spacing w:after="0" w:line="154" w:lineRule="exact"/>
        <w:rPr>
          <w:sz w:val="20"/>
          <w:szCs w:val="20"/>
          <w:color w:val="auto"/>
        </w:rPr>
      </w:pPr>
    </w:p>
    <w:p>
      <w:pPr>
        <w:ind w:left="420" w:hanging="169"/>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2026 of GXO Logistics, Inc.;</w:t>
      </w:r>
    </w:p>
    <w:p>
      <w:pPr>
        <w:spacing w:after="0" w:line="153" w:lineRule="exact"/>
        <w:rPr>
          <w:rFonts w:ascii="Times New Roman" w:cs="Times New Roman" w:eastAsia="Times New Roman" w:hAnsi="Times New Roman"/>
          <w:sz w:val="16"/>
          <w:szCs w:val="16"/>
          <w:color w:val="auto"/>
        </w:rPr>
      </w:pPr>
    </w:p>
    <w:p>
      <w:pPr>
        <w:ind w:left="420" w:right="80" w:hanging="169"/>
        <w:spacing w:after="0" w:line="316" w:lineRule="auto"/>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420" w:right="60" w:hanging="169"/>
        <w:spacing w:after="0" w:line="333" w:lineRule="auto"/>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420" w:hanging="169"/>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45"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53" w:lineRule="exact"/>
        <w:rPr>
          <w:rFonts w:ascii="Times New Roman" w:cs="Times New Roman" w:eastAsia="Times New Roman" w:hAnsi="Times New Roman"/>
          <w:sz w:val="16"/>
          <w:szCs w:val="16"/>
          <w:color w:val="auto"/>
        </w:rPr>
      </w:pPr>
    </w:p>
    <w:p>
      <w:pPr>
        <w:ind w:left="1060" w:hanging="242"/>
        <w:spacing w:after="0" w:line="307" w:lineRule="auto"/>
        <w:tabs>
          <w:tab w:leader="none" w:pos="103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Times New Roman" w:cs="Times New Roman" w:eastAsia="Times New Roman" w:hAnsi="Times New Roman"/>
          <w:sz w:val="16"/>
          <w:szCs w:val="16"/>
          <w:color w:val="auto"/>
        </w:rPr>
      </w:pPr>
    </w:p>
    <w:p>
      <w:pPr>
        <w:ind w:left="1060" w:right="160" w:hanging="242"/>
        <w:spacing w:after="0" w:line="307" w:lineRule="auto"/>
        <w:tabs>
          <w:tab w:leader="none" w:pos="104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Times New Roman" w:cs="Times New Roman" w:eastAsia="Times New Roman" w:hAnsi="Times New Roman"/>
          <w:sz w:val="16"/>
          <w:szCs w:val="16"/>
          <w:color w:val="auto"/>
        </w:rPr>
      </w:pPr>
    </w:p>
    <w:p>
      <w:pPr>
        <w:ind w:left="1060" w:right="180" w:hanging="242"/>
        <w:spacing w:after="0" w:line="316" w:lineRule="auto"/>
        <w:tabs>
          <w:tab w:leader="none" w:pos="103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6"/>
          <w:szCs w:val="16"/>
          <w:color w:val="auto"/>
        </w:rPr>
      </w:pPr>
    </w:p>
    <w:p>
      <w:pPr>
        <w:ind w:left="1040" w:hanging="222"/>
        <w:spacing w:after="0"/>
        <w:tabs>
          <w:tab w:leader="none" w:pos="10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w:t>
      </w:r>
    </w:p>
    <w:p>
      <w:pPr>
        <w:spacing w:after="0" w:line="45" w:lineRule="exact"/>
        <w:rPr>
          <w:rFonts w:ascii="Times New Roman" w:cs="Times New Roman" w:eastAsia="Times New Roman" w:hAnsi="Times New Roman"/>
          <w:sz w:val="16"/>
          <w:szCs w:val="16"/>
          <w:color w:val="auto"/>
        </w:rPr>
      </w:pPr>
    </w:p>
    <w:p>
      <w:pPr>
        <w:ind w:left="1060" w:right="18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6"/>
          <w:szCs w:val="16"/>
          <w:color w:val="auto"/>
        </w:rPr>
      </w:pPr>
    </w:p>
    <w:p>
      <w:pPr>
        <w:ind w:left="420" w:right="380" w:hanging="169"/>
        <w:spacing w:after="0" w:line="333" w:lineRule="auto"/>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060" w:right="340" w:hanging="242"/>
        <w:spacing w:after="0" w:line="333" w:lineRule="auto"/>
        <w:tabs>
          <w:tab w:leader="none" w:pos="103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1060" w:right="540" w:hanging="242"/>
        <w:spacing w:after="0" w:line="316" w:lineRule="auto"/>
        <w:tabs>
          <w:tab w:leader="none" w:pos="104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/s/ Patrick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29210</wp:posOffset>
            </wp:positionV>
            <wp:extent cx="2554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Patrick Kelleher</w:t>
      </w:r>
    </w:p>
    <w:p>
      <w:pPr>
        <w:spacing w:after="0" w:line="5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November 4, 2026</w:t>
      </w:r>
    </w:p>
    <w:p>
      <w:pPr>
        <w:sectPr>
          <w:pgSz w:w="11900" w:h="16838" w:orient="portrait"/>
          <w:cols w:equalWidth="0" w:num="1">
            <w:col w:w="11240"/>
          </w:cols>
          <w:pgMar w:left="320" w:top="14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7"/>
          <w:szCs w:val="17"/>
          <w:color w:val="auto"/>
        </w:rPr>
        <w:t>Mark Suchinski</w:t>
      </w:r>
      <w:r>
        <w:rPr>
          <w:rFonts w:ascii="Times New Roman" w:cs="Times New Roman" w:eastAsia="Times New Roman" w:hAnsi="Times New Roman"/>
          <w:sz w:val="16"/>
          <w:szCs w:val="16"/>
          <w:color w:val="auto"/>
        </w:rPr>
        <w:t>, certify that:</w:t>
      </w:r>
    </w:p>
    <w:p>
      <w:pPr>
        <w:spacing w:after="0" w:line="174" w:lineRule="exact"/>
        <w:rPr>
          <w:sz w:val="20"/>
          <w:szCs w:val="20"/>
          <w:color w:val="auto"/>
        </w:rPr>
      </w:pPr>
    </w:p>
    <w:p>
      <w:pPr>
        <w:ind w:left="420" w:hanging="169"/>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2026 of GXO Logistics, Inc.;</w:t>
      </w:r>
    </w:p>
    <w:p>
      <w:pPr>
        <w:spacing w:after="0" w:line="153" w:lineRule="exact"/>
        <w:rPr>
          <w:rFonts w:ascii="Times New Roman" w:cs="Times New Roman" w:eastAsia="Times New Roman" w:hAnsi="Times New Roman"/>
          <w:sz w:val="16"/>
          <w:szCs w:val="16"/>
          <w:color w:val="auto"/>
        </w:rPr>
      </w:pPr>
    </w:p>
    <w:p>
      <w:pPr>
        <w:ind w:left="420" w:right="80" w:hanging="169"/>
        <w:spacing w:after="0" w:line="316"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420" w:right="60" w:hanging="169"/>
        <w:spacing w:after="0" w:line="333"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420" w:hanging="169"/>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45"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53" w:lineRule="exact"/>
        <w:rPr>
          <w:rFonts w:ascii="Times New Roman" w:cs="Times New Roman" w:eastAsia="Times New Roman" w:hAnsi="Times New Roman"/>
          <w:sz w:val="16"/>
          <w:szCs w:val="16"/>
          <w:color w:val="auto"/>
        </w:rPr>
      </w:pPr>
    </w:p>
    <w:p>
      <w:pPr>
        <w:ind w:left="1060" w:hanging="242"/>
        <w:spacing w:after="0" w:line="307" w:lineRule="auto"/>
        <w:tabs>
          <w:tab w:leader="none" w:pos="1037"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Times New Roman" w:cs="Times New Roman" w:eastAsia="Times New Roman" w:hAnsi="Times New Roman"/>
          <w:sz w:val="16"/>
          <w:szCs w:val="16"/>
          <w:color w:val="auto"/>
        </w:rPr>
      </w:pPr>
    </w:p>
    <w:p>
      <w:pPr>
        <w:ind w:left="1060" w:right="160" w:hanging="242"/>
        <w:spacing w:after="0" w:line="307" w:lineRule="auto"/>
        <w:tabs>
          <w:tab w:leader="none" w:pos="104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Times New Roman" w:cs="Times New Roman" w:eastAsia="Times New Roman" w:hAnsi="Times New Roman"/>
          <w:sz w:val="16"/>
          <w:szCs w:val="16"/>
          <w:color w:val="auto"/>
        </w:rPr>
      </w:pPr>
    </w:p>
    <w:p>
      <w:pPr>
        <w:ind w:left="1060" w:right="180" w:hanging="242"/>
        <w:spacing w:after="0" w:line="316" w:lineRule="auto"/>
        <w:tabs>
          <w:tab w:leader="none" w:pos="1037"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6"/>
          <w:szCs w:val="16"/>
          <w:color w:val="auto"/>
        </w:rPr>
      </w:pPr>
    </w:p>
    <w:p>
      <w:pPr>
        <w:ind w:left="1040" w:hanging="222"/>
        <w:spacing w:after="0"/>
        <w:tabs>
          <w:tab w:leader="none" w:pos="10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w:t>
      </w:r>
    </w:p>
    <w:p>
      <w:pPr>
        <w:spacing w:after="0" w:line="45" w:lineRule="exact"/>
        <w:rPr>
          <w:rFonts w:ascii="Times New Roman" w:cs="Times New Roman" w:eastAsia="Times New Roman" w:hAnsi="Times New Roman"/>
          <w:sz w:val="16"/>
          <w:szCs w:val="16"/>
          <w:color w:val="auto"/>
        </w:rPr>
      </w:pPr>
    </w:p>
    <w:p>
      <w:pPr>
        <w:ind w:left="1060" w:right="18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6"/>
          <w:szCs w:val="16"/>
          <w:color w:val="auto"/>
        </w:rPr>
      </w:pPr>
    </w:p>
    <w:p>
      <w:pPr>
        <w:ind w:left="420" w:right="380" w:hanging="169"/>
        <w:spacing w:after="0" w:line="333"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060" w:right="340" w:hanging="242"/>
        <w:spacing w:after="0" w:line="333" w:lineRule="auto"/>
        <w:tabs>
          <w:tab w:leader="none" w:pos="1037"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1060" w:right="540" w:hanging="242"/>
        <w:spacing w:after="0" w:line="316" w:lineRule="auto"/>
        <w:tabs>
          <w:tab w:leader="none" w:pos="104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/s/ Mark Suchinski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29210</wp:posOffset>
            </wp:positionV>
            <wp:extent cx="2554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Mark Suchinski</w:t>
      </w:r>
    </w:p>
    <w:p>
      <w:pPr>
        <w:spacing w:after="0" w:line="5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November 4, 2026</w:t>
      </w:r>
    </w:p>
    <w:p>
      <w:pPr>
        <w:sectPr>
          <w:pgSz w:w="11900" w:h="16838" w:orient="portrait"/>
          <w:cols w:equalWidth="0" w:num="1">
            <w:col w:w="11240"/>
          </w:cols>
          <w:pgMar w:left="320" w:top="143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97"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Executive Officer of GXO Logistics, Inc. (the “Company”), hereby certify, based on my knowledge, that the Quarterly Report on Form 10-Q of the Company for the quarter ended September 30,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Patrick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34290</wp:posOffset>
            </wp:positionV>
            <wp:extent cx="2554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Patrick Kelleher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2026</w:t>
      </w:r>
    </w:p>
    <w:p>
      <w:pPr>
        <w:sectPr>
          <w:pgSz w:w="11900" w:h="16838" w:orient="portrait"/>
          <w:cols w:equalWidth="0" w:num="1">
            <w:col w:w="11240"/>
          </w:cols>
          <w:pgMar w:left="320" w:top="14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97"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Financial Officer of GXO Logistics, Inc. (the “Company”), hereby certify, based on my knowledge, that the Quarterly Report on Form 10-Q of the Company for the quarter ended September 30,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Mark Suchinski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34290</wp:posOffset>
            </wp:positionV>
            <wp:extent cx="25546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Mark Suchinski</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2026</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1" Type="http://schemas.openxmlformats.org/officeDocument/2006/relationships/hyperlink" Target="https://www.sec.gov/Archives/edgar/data/1852244/000110465926099267/tm2623693d1_ex10-1.htm" TargetMode="External"/><Relationship Id="rId52" Type="http://schemas.openxmlformats.org/officeDocument/2006/relationships/hyperlink" Target="https://www.sec.gov/Archives/edgar/data/1852244/000185224426000007/gxo2025q4subsidiaryguara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2026-11-04T15:50:47Z</dcterms:created>
  <dcterms:modified xsi:type="dcterms:W3CDTF">2026-11-04T15:50:47Z</dcterms:modified>
</cp:coreProperties>
</file>