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t>UNITED STATES</w:t>
      </w:r>
    </w:p>
    <w:p>
      <w:pPr>
        <w:ind w:left="3680"/>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ind w:left="3160"/>
        <w:spacing w:after="0" w:line="204" w:lineRule="auto"/>
        <w:rPr>
          <w:sz w:val="20"/>
          <w:szCs w:val="20"/>
          <w:color w:val="auto"/>
        </w:rPr>
      </w:pPr>
      <w:r>
        <w:rPr>
          <w:rFonts w:ascii="Arial" w:cs="Arial" w:eastAsia="Arial" w:hAnsi="Arial"/>
          <w:sz w:val="18"/>
          <w:szCs w:val="18"/>
          <w:b w:val="1"/>
          <w:bCs w:val="1"/>
          <w:color w:val="auto"/>
        </w:rPr>
        <w:t>_______________________________________________________</w:t>
      </w:r>
    </w:p>
    <w:p>
      <w:pPr>
        <w:jc w:val="center"/>
        <w:ind w:right="220"/>
        <w:spacing w:after="0" w:line="187" w:lineRule="auto"/>
        <w:rPr>
          <w:sz w:val="20"/>
          <w:szCs w:val="20"/>
          <w:color w:val="auto"/>
        </w:rPr>
      </w:pPr>
      <w:r>
        <w:rPr>
          <w:rFonts w:ascii="Arial" w:cs="Arial" w:eastAsia="Arial" w:hAnsi="Arial"/>
          <w:sz w:val="15"/>
          <w:szCs w:val="15"/>
          <w:b w:val="1"/>
          <w:bCs w:val="1"/>
          <w:color w:val="auto"/>
        </w:rPr>
        <w:t>FORM 10-Q</w:t>
      </w:r>
    </w:p>
    <w:p>
      <w:pPr>
        <w:ind w:left="3160"/>
        <w:spacing w:after="0" w:line="207" w:lineRule="auto"/>
        <w:rPr>
          <w:sz w:val="20"/>
          <w:szCs w:val="20"/>
          <w:color w:val="auto"/>
        </w:rPr>
      </w:pPr>
      <w:r>
        <w:rPr>
          <w:rFonts w:ascii="Arial" w:cs="Arial" w:eastAsia="Arial" w:hAnsi="Arial"/>
          <w:sz w:val="18"/>
          <w:szCs w:val="18"/>
          <w:b w:val="1"/>
          <w:bCs w:val="1"/>
          <w:color w:val="auto"/>
        </w:rPr>
        <w:t>_______________________________________________________</w:t>
      </w:r>
    </w:p>
    <w:p>
      <w:pPr>
        <w:spacing w:after="0"/>
        <w:rPr>
          <w:sz w:val="20"/>
          <w:szCs w:val="20"/>
          <w:color w:val="auto"/>
        </w:rPr>
      </w:pPr>
      <w:r>
        <w:rPr>
          <w:rFonts w:ascii="Arial" w:cs="Arial" w:eastAsia="Arial" w:hAnsi="Arial"/>
          <w:sz w:val="16"/>
          <w:szCs w:val="16"/>
          <w:b w:val="1"/>
          <w:bCs w:val="1"/>
          <w:color w:val="auto"/>
        </w:rPr>
        <w:t>(Mark One)</w:t>
      </w:r>
    </w:p>
    <w:p>
      <w:pPr>
        <w:spacing w:after="0" w:line="37"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3" w:lineRule="exact"/>
        <w:rPr>
          <w:sz w:val="24"/>
          <w:szCs w:val="24"/>
          <w:color w:val="auto"/>
        </w:rPr>
      </w:pPr>
    </w:p>
    <w:p>
      <w:pPr>
        <w:ind w:left="280" w:hanging="254"/>
        <w:spacing w:after="0"/>
        <w:tabs>
          <w:tab w:leader="none" w:pos="2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001-40470</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925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w:t>
      </w:r>
    </w:p>
    <w:p>
      <w:pPr>
        <w:spacing w:after="0" w:line="56"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ind w:right="770"/>
              <w:spacing w:after="0"/>
              <w:rPr>
                <w:sz w:val="20"/>
                <w:szCs w:val="20"/>
                <w:color w:val="auto"/>
              </w:rPr>
            </w:pPr>
            <w:r>
              <w:rPr>
                <w:rFonts w:ascii="Arial" w:cs="Arial" w:eastAsia="Arial" w:hAnsi="Arial"/>
                <w:sz w:val="18"/>
                <w:szCs w:val="18"/>
                <w:b w:val="1"/>
                <w:bCs w:val="1"/>
                <w:color w:val="auto"/>
              </w:rPr>
              <w:t>86-2098312</w:t>
            </w: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3"/>
              </w:rPr>
              <w:t>(I.R.S. Employer Identification No.)</w:t>
            </w: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Two American Lane</w:t>
            </w:r>
          </w:p>
        </w:tc>
        <w:tc>
          <w:tcPr>
            <w:tcW w:w="4740" w:type="dxa"/>
            <w:vAlign w:val="bottom"/>
          </w:tcPr>
          <w:p>
            <w:pPr>
              <w:spacing w:after="0"/>
              <w:rPr>
                <w:sz w:val="23"/>
                <w:szCs w:val="23"/>
                <w:color w:val="auto"/>
              </w:rPr>
            </w:pP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Greenwich, Connecticut</w:t>
            </w:r>
          </w:p>
        </w:tc>
        <w:tc>
          <w:tcPr>
            <w:tcW w:w="4740" w:type="dxa"/>
            <w:vAlign w:val="bottom"/>
          </w:tcPr>
          <w:p>
            <w:pPr>
              <w:jc w:val="right"/>
              <w:ind w:right="990"/>
              <w:spacing w:after="0"/>
              <w:rPr>
                <w:sz w:val="20"/>
                <w:szCs w:val="20"/>
                <w:color w:val="auto"/>
              </w:rPr>
            </w:pPr>
            <w:r>
              <w:rPr>
                <w:rFonts w:ascii="Arial" w:cs="Arial" w:eastAsia="Arial" w:hAnsi="Arial"/>
                <w:sz w:val="18"/>
                <w:szCs w:val="18"/>
                <w:b w:val="1"/>
                <w:bCs w:val="1"/>
                <w:color w:val="auto"/>
              </w:rPr>
              <w:t>06831</w:t>
            </w:r>
          </w:p>
        </w:tc>
      </w:tr>
      <w:tr>
        <w:trPr>
          <w:trHeight w:val="27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4"/>
              </w:rPr>
              <w:t>(Zip Code)</w:t>
            </w:r>
          </w:p>
        </w:tc>
      </w:tr>
      <w:tr>
        <w:trPr>
          <w:trHeight w:val="338"/>
        </w:trPr>
        <w:tc>
          <w:tcPr>
            <w:tcW w:w="4360" w:type="dxa"/>
            <w:vAlign w:val="bottom"/>
          </w:tcPr>
          <w:p>
            <w:pPr>
              <w:spacing w:after="0"/>
              <w:rPr>
                <w:sz w:val="24"/>
                <w:szCs w:val="24"/>
                <w:color w:val="auto"/>
              </w:rPr>
            </w:pPr>
          </w:p>
        </w:tc>
        <w:tc>
          <w:tcPr>
            <w:tcW w:w="4740" w:type="dxa"/>
            <w:vAlign w:val="bottom"/>
          </w:tcPr>
          <w:p>
            <w:pPr>
              <w:jc w:val="right"/>
              <w:ind w:right="3470"/>
              <w:spacing w:after="0"/>
              <w:rPr>
                <w:sz w:val="20"/>
                <w:szCs w:val="20"/>
                <w:color w:val="auto"/>
              </w:rPr>
            </w:pPr>
            <w:r>
              <w:rPr>
                <w:rFonts w:ascii="Arial" w:cs="Arial" w:eastAsia="Arial" w:hAnsi="Arial"/>
                <w:sz w:val="18"/>
                <w:szCs w:val="18"/>
                <w:b w:val="1"/>
                <w:bCs w:val="1"/>
                <w:color w:val="auto"/>
                <w:w w:val="94"/>
              </w:rPr>
              <w:t>(203) 489-1287</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3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Title of each class</w:t>
            </w:r>
          </w:p>
        </w:tc>
        <w:tc>
          <w:tcPr>
            <w:tcW w:w="25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Trading Symbol(s)</w:t>
            </w:r>
          </w:p>
        </w:tc>
        <w:tc>
          <w:tcPr>
            <w:tcW w:w="43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4"/>
        </w:trPr>
        <w:tc>
          <w:tcPr>
            <w:tcW w:w="4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Common stock, par value $0.01 per share</w:t>
            </w:r>
          </w:p>
        </w:tc>
        <w:tc>
          <w:tcPr>
            <w:tcW w:w="2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GXO</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3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560" w:type="dxa"/>
        <w:tblCellMar>
          <w:top w:w="0" w:type="dxa"/>
          <w:left w:w="0" w:type="dxa"/>
          <w:bottom w:w="0" w:type="dxa"/>
          <w:right w:w="0" w:type="dxa"/>
        </w:tblCellMar>
      </w:tblPr>
      <w:tr>
        <w:trPr>
          <w:trHeight w:val="277"/>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May 2, 2022, there were 114,856,317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GXO Logistics, Inc.</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gridSpan w:val="3"/>
          </w:tcPr>
          <w:p>
            <w:pPr>
              <w:ind w:left="174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8980" w:type="dxa"/>
            <w:vAlign w:val="bottom"/>
            <w:gridSpan w:val="19"/>
          </w:tcPr>
          <w:p>
            <w:pPr>
              <w:spacing w:after="0" w:line="201" w:lineRule="exact"/>
              <w:rPr>
                <w:rFonts w:ascii="Arial" w:cs="Arial" w:eastAsia="Arial" w:hAnsi="Arial"/>
                <w:sz w:val="18"/>
                <w:szCs w:val="18"/>
                <w:b w:val="1"/>
                <w:bCs w:val="1"/>
                <w:color w:val="3051F2"/>
              </w:rPr>
            </w:pPr>
            <w:hyperlink w:anchor="page2">
              <w:r>
                <w:rPr>
                  <w:rFonts w:ascii="Arial" w:cs="Arial" w:eastAsia="Arial" w:hAnsi="Arial"/>
                  <w:sz w:val="18"/>
                  <w:szCs w:val="18"/>
                  <w:b w:val="1"/>
                  <w:bCs w:val="1"/>
                  <w:color w:val="3051F2"/>
                </w:rPr>
                <w:t>Part I—Financial Information</w:t>
              </w:r>
            </w:hyperlink>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940" w:type="dxa"/>
            <w:vAlign w:val="bottom"/>
            <w:gridSpan w:val="2"/>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Financial Statements (Unaudited)</w:t>
              </w:r>
            </w:hyperlink>
          </w:p>
        </w:tc>
        <w:tc>
          <w:tcPr>
            <w:tcW w:w="5780" w:type="dxa"/>
            <w:vAlign w:val="bottom"/>
            <w:gridSpan w:val="9"/>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880" w:type="dxa"/>
            <w:vAlign w:val="bottom"/>
            <w:gridSpan w:val="7"/>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(Loss)</w:t>
              </w:r>
            </w:hyperlink>
          </w:p>
        </w:tc>
        <w:tc>
          <w:tcPr>
            <w:tcW w:w="1980" w:type="dxa"/>
            <w:vAlign w:val="bottom"/>
            <w:gridSpan w:val="2"/>
          </w:tcPr>
          <w:p>
            <w:pPr>
              <w:jc w:val="center"/>
              <w:ind w:left="171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2140" w:type="dxa"/>
            <w:vAlign w:val="bottom"/>
            <w:tcBorders>
              <w:top w:val="single" w:sz="8" w:color="0000FF"/>
            </w:tcBorders>
            <w:gridSpan w:val="6"/>
          </w:tcPr>
          <w:p>
            <w:pPr>
              <w:spacing w:after="0"/>
              <w:rPr>
                <w:sz w:val="18"/>
                <w:szCs w:val="18"/>
                <w:color w:val="auto"/>
              </w:rPr>
            </w:pPr>
          </w:p>
        </w:tc>
        <w:tc>
          <w:tcPr>
            <w:tcW w:w="346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4820" w:type="dxa"/>
            <w:vAlign w:val="bottom"/>
            <w:gridSpan w:val="6"/>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Equity</w:t>
              </w:r>
            </w:hyperlink>
          </w:p>
        </w:tc>
        <w:tc>
          <w:tcPr>
            <w:tcW w:w="4340" w:type="dxa"/>
            <w:vAlign w:val="bottom"/>
            <w:gridSpan w:val="4"/>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4540" w:type="dxa"/>
            <w:vAlign w:val="bottom"/>
            <w:gridSpan w:val="5"/>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7020" w:type="dxa"/>
            <w:vAlign w:val="bottom"/>
            <w:gridSpan w:val="17"/>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Item 2. Management’s Discussion and Analysis of Financial Condition and Results of Operations</w:t>
              </w:r>
            </w:hyperlink>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Item 3.</w:t>
              </w:r>
            </w:hyperlink>
          </w:p>
        </w:tc>
        <w:tc>
          <w:tcPr>
            <w:tcW w:w="4380" w:type="dxa"/>
            <w:vAlign w:val="bottom"/>
            <w:gridSpan w:val="13"/>
          </w:tcPr>
          <w:p>
            <w:pPr>
              <w:ind w:left="20"/>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Item 4.</w:t>
              </w:r>
            </w:hyperlink>
          </w:p>
        </w:tc>
        <w:tc>
          <w:tcPr>
            <w:tcW w:w="4380" w:type="dxa"/>
            <w:vAlign w:val="bottom"/>
            <w:gridSpan w:val="13"/>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3840" w:type="dxa"/>
            <w:vAlign w:val="bottom"/>
            <w:gridSpan w:val="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160" w:type="dxa"/>
            <w:vAlign w:val="bottom"/>
            <w:tcBorders>
              <w:bottom w:val="single" w:sz="8" w:color="3051F2"/>
            </w:tcBorders>
            <w:gridSpan w:val="7"/>
          </w:tcPr>
          <w:p>
            <w:pPr>
              <w:spacing w:after="0"/>
              <w:rPr>
                <w:rFonts w:ascii="Arial" w:cs="Arial" w:eastAsia="Arial" w:hAnsi="Arial"/>
                <w:sz w:val="18"/>
                <w:szCs w:val="18"/>
                <w:b w:val="1"/>
                <w:bCs w:val="1"/>
                <w:color w:val="3051F2"/>
                <w:w w:val="97"/>
              </w:rPr>
            </w:pPr>
            <w:hyperlink w:anchor="page26">
              <w:r>
                <w:rPr>
                  <w:rFonts w:ascii="Arial" w:cs="Arial" w:eastAsia="Arial" w:hAnsi="Arial"/>
                  <w:sz w:val="18"/>
                  <w:szCs w:val="18"/>
                  <w:b w:val="1"/>
                  <w:bCs w:val="1"/>
                  <w:color w:val="3051F2"/>
                  <w:w w:val="97"/>
                </w:rPr>
                <w:t xml:space="preserve">Part </w:t>
              </w:r>
            </w:hyperlink>
            <w:r>
              <w:rPr>
                <w:rFonts w:ascii="Arial" w:cs="Arial" w:eastAsia="Arial" w:hAnsi="Arial"/>
                <w:sz w:val="18"/>
                <w:szCs w:val="18"/>
                <w:b w:val="1"/>
                <w:bCs w:val="1"/>
                <w:color w:val="3051F2"/>
                <w:w w:val="97"/>
              </w:rPr>
              <w:t xml:space="preserve">II—Other </w:t>
            </w:r>
            <w:hyperlink w:anchor="page26">
              <w:r>
                <w:rPr>
                  <w:rFonts w:ascii="Arial" w:cs="Arial" w:eastAsia="Arial" w:hAnsi="Arial"/>
                  <w:sz w:val="18"/>
                  <w:szCs w:val="18"/>
                  <w:b w:val="1"/>
                  <w:bCs w:val="1"/>
                  <w:color w:val="3051F2"/>
                  <w:w w:val="97"/>
                </w:rPr>
                <w:t>Information</w:t>
              </w:r>
            </w:hyperlink>
          </w:p>
        </w:tc>
        <w:tc>
          <w:tcPr>
            <w:tcW w:w="6820" w:type="dxa"/>
            <w:vAlign w:val="bottom"/>
            <w:gridSpan w:val="1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1.</w:t>
              </w:r>
            </w:hyperlink>
          </w:p>
        </w:tc>
        <w:tc>
          <w:tcPr>
            <w:tcW w:w="1360" w:type="dxa"/>
            <w:vAlign w:val="bottom"/>
            <w:gridSpan w:val="3"/>
          </w:tcPr>
          <w:p>
            <w:pPr>
              <w:ind w:left="2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600" w:type="dxa"/>
            <w:vAlign w:val="bottom"/>
            <w:gridSpan w:val="4"/>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 1A. Risk Factors</w:t>
              </w:r>
            </w:hyperlink>
          </w:p>
        </w:tc>
        <w:tc>
          <w:tcPr>
            <w:tcW w:w="300" w:type="dxa"/>
            <w:vAlign w:val="bottom"/>
          </w:tcPr>
          <w:p>
            <w:pPr>
              <w:spacing w:after="0"/>
              <w:rPr>
                <w:sz w:val="18"/>
                <w:szCs w:val="18"/>
                <w:color w:val="auto"/>
              </w:rPr>
            </w:pP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6.</w:t>
              </w:r>
            </w:hyperlink>
          </w:p>
        </w:tc>
        <w:tc>
          <w:tcPr>
            <w:tcW w:w="620" w:type="dxa"/>
            <w:vAlign w:val="bottom"/>
          </w:tcPr>
          <w:p>
            <w:pPr>
              <w:ind w:left="2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440" w:type="dxa"/>
            <w:vAlign w:val="bottom"/>
          </w:tcPr>
          <w:p>
            <w:pPr>
              <w:spacing w:after="0"/>
              <w:rPr>
                <w:sz w:val="18"/>
                <w:szCs w:val="18"/>
                <w:color w:val="auto"/>
              </w:rPr>
            </w:pPr>
          </w:p>
        </w:tc>
        <w:tc>
          <w:tcPr>
            <w:tcW w:w="7160" w:type="dxa"/>
            <w:vAlign w:val="bottom"/>
            <w:gridSpan w:val="14"/>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8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shares in thousands, except per share amounts)</w:t>
            </w:r>
          </w:p>
        </w:tc>
        <w:tc>
          <w:tcPr>
            <w:tcW w:w="500" w:type="dxa"/>
            <w:vAlign w:val="bottom"/>
          </w:tcPr>
          <w:p>
            <w:pPr>
              <w:spacing w:after="0"/>
              <w:rPr>
                <w:sz w:val="19"/>
                <w:szCs w:val="19"/>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23"/>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30"/>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 and other</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GXO</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data</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57"/>
        </w:trPr>
        <w:tc>
          <w:tcPr>
            <w:tcW w:w="6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30"/>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114,626</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23"/>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Foreign currency translation loss, net of tax benefit of $— and $3,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4" w:lineRule="exact"/>
        <w:rPr>
          <w:sz w:val="20"/>
          <w:szCs w:val="20"/>
          <w:color w:val="auto"/>
        </w:rPr>
      </w:pPr>
    </w:p>
    <w:p>
      <w:pPr>
        <w:ind w:left="400" w:right="1860" w:hanging="161"/>
        <w:spacing w:after="0" w:line="234" w:lineRule="auto"/>
        <w:rPr>
          <w:sz w:val="20"/>
          <w:szCs w:val="20"/>
          <w:color w:val="auto"/>
        </w:rPr>
      </w:pPr>
      <w:r>
        <w:rPr>
          <w:rFonts w:ascii="Arial" w:cs="Arial" w:eastAsia="Arial" w:hAnsi="Arial"/>
          <w:sz w:val="18"/>
          <w:szCs w:val="18"/>
          <w:color w:val="auto"/>
        </w:rPr>
        <w:t>Unrealized gain (loss) on hedging instruments, net of tax expense of $— and $(1), respectively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(45)</w:t>
      </w:r>
    </w:p>
    <w:p>
      <w:pPr>
        <w:spacing w:after="0" w:line="127" w:lineRule="exact"/>
        <w:rPr>
          <w:sz w:val="20"/>
          <w:szCs w:val="20"/>
          <w:color w:val="auto"/>
        </w:rPr>
      </w:pPr>
    </w:p>
    <w:p>
      <w:pPr>
        <w:ind w:left="80"/>
        <w:spacing w:after="0"/>
        <w:tabs>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r>
    </w:p>
    <w:p>
      <w:pPr>
        <w:spacing w:after="0" w:line="117" w:lineRule="exact"/>
        <w:rPr>
          <w:sz w:val="20"/>
          <w:szCs w:val="20"/>
          <w:color w:val="auto"/>
        </w:rPr>
      </w:pPr>
    </w:p>
    <w:p>
      <w:pPr>
        <w:sectPr>
          <w:pgSz w:w="11900" w:h="16838" w:orient="portrait"/>
          <w:cols w:equalWidth="0" w:num="2">
            <w:col w:w="8020" w:space="720"/>
            <w:col w:w="25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9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9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GXO</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ind w:right="499"/>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5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13"/>
        </w:trPr>
        <w:tc>
          <w:tcPr>
            <w:tcW w:w="6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686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 of allowances of $13 and $13, respectively</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9"/>
        </w:trPr>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1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68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b w:val="1"/>
                <w:bCs w:val="1"/>
                <w:color w:val="auto"/>
              </w:rPr>
              <w:t>Total current assets</w:t>
            </w:r>
          </w:p>
        </w:tc>
        <w:tc>
          <w:tcPr>
            <w:tcW w:w="1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r>
      <w:tr>
        <w:trPr>
          <w:trHeight w:val="19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1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686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 of $1,145 and $1,128 in accumulated depreciation, respectively</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1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 assets</w:t>
            </w: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r>
      <w:tr>
        <w:trPr>
          <w:trHeight w:val="213"/>
        </w:trPr>
        <w:tc>
          <w:tcPr>
            <w:tcW w:w="6860" w:type="dxa"/>
            <w:vAlign w:val="bottom"/>
            <w:gridSpan w:val="2"/>
          </w:tcPr>
          <w:p>
            <w:pPr>
              <w:ind w:left="260"/>
              <w:spacing w:after="0"/>
              <w:rPr>
                <w:sz w:val="20"/>
                <w:szCs w:val="20"/>
                <w:color w:val="auto"/>
              </w:rPr>
            </w:pPr>
            <w:r>
              <w:rPr>
                <w:rFonts w:ascii="Arial" w:cs="Arial" w:eastAsia="Arial" w:hAnsi="Arial"/>
                <w:sz w:val="16"/>
                <w:szCs w:val="16"/>
                <w:color w:val="auto"/>
              </w:rPr>
              <w:t>Goodwill</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1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$414 and $407 in accumulated amortization, respectively</w:t>
            </w: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68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long-term assets</w:t>
            </w: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686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long-term assets</w:t>
            </w:r>
          </w:p>
        </w:tc>
        <w:tc>
          <w:tcPr>
            <w:tcW w:w="15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r>
      <w:tr>
        <w:trPr>
          <w:trHeight w:val="207"/>
        </w:trPr>
        <w:tc>
          <w:tcPr>
            <w:tcW w:w="6860" w:type="dxa"/>
            <w:vAlign w:val="bottom"/>
            <w:gridSpan w:val="2"/>
          </w:tcPr>
          <w:p>
            <w:pPr>
              <w:ind w:left="880"/>
              <w:spacing w:after="0"/>
              <w:rPr>
                <w:sz w:val="20"/>
                <w:szCs w:val="20"/>
                <w:color w:val="auto"/>
              </w:rPr>
            </w:pPr>
            <w:r>
              <w:rPr>
                <w:rFonts w:ascii="Arial" w:cs="Arial" w:eastAsia="Arial" w:hAnsi="Arial"/>
                <w:sz w:val="16"/>
                <w:szCs w:val="16"/>
                <w:b w:val="1"/>
                <w:bCs w:val="1"/>
                <w:color w:val="auto"/>
              </w:rPr>
              <w:t>Total assets</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13"/>
        </w:trPr>
        <w:tc>
          <w:tcPr>
            <w:tcW w:w="68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13"/>
        </w:trPr>
        <w:tc>
          <w:tcPr>
            <w:tcW w:w="686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Short-term borrowings and obligations under finance leases</w:t>
            </w:r>
          </w:p>
        </w:tc>
        <w:tc>
          <w:tcPr>
            <w:tcW w:w="15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6860" w:type="dxa"/>
            <w:vAlign w:val="bottom"/>
            <w:gridSpan w:val="2"/>
          </w:tcPr>
          <w:p>
            <w:pPr>
              <w:ind w:left="260"/>
              <w:spacing w:after="0"/>
              <w:rPr>
                <w:sz w:val="20"/>
                <w:szCs w:val="20"/>
                <w:color w:val="auto"/>
              </w:rPr>
            </w:pPr>
            <w:r>
              <w:rPr>
                <w:rFonts w:ascii="Arial" w:cs="Arial" w:eastAsia="Arial" w:hAnsi="Arial"/>
                <w:sz w:val="16"/>
                <w:szCs w:val="16"/>
                <w:color w:val="auto"/>
              </w:rPr>
              <w:t>Current operating lease liabilities</w:t>
            </w:r>
          </w:p>
        </w:tc>
        <w:tc>
          <w:tcPr>
            <w:tcW w:w="1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1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6"/>
        </w:trPr>
        <w:tc>
          <w:tcPr>
            <w:tcW w:w="686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1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r>
      <w:tr>
        <w:trPr>
          <w:trHeight w:val="19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1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sectPr>
          <w:pgSz w:w="11900" w:h="16838" w:orient="portrait"/>
          <w:cols w:equalWidth="0" w:num="1">
            <w:col w:w="11200"/>
          </w:cols>
          <w:pgMar w:left="340" w:top="1417" w:right="359" w:bottom="1440" w:gutter="0" w:footer="0" w:header="0"/>
        </w:sectPr>
      </w:pPr>
    </w:p>
    <w:p>
      <w:pPr>
        <w:ind w:left="260"/>
        <w:spacing w:after="0"/>
        <w:rPr>
          <w:sz w:val="20"/>
          <w:szCs w:val="20"/>
          <w:color w:val="auto"/>
        </w:rPr>
      </w:pPr>
      <w:r>
        <w:rPr>
          <w:rFonts w:ascii="Arial" w:cs="Arial" w:eastAsia="Arial" w:hAnsi="Arial"/>
          <w:sz w:val="16"/>
          <w:szCs w:val="16"/>
          <w:color w:val="auto"/>
        </w:rPr>
        <w:t>Long-term debt and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operating lease liabilities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long-term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Commitments and contingencies (Note 11)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 w:lineRule="exact"/>
        <w:rPr>
          <w:sz w:val="20"/>
          <w:szCs w:val="20"/>
          <w:color w:val="auto"/>
        </w:rPr>
      </w:pPr>
    </w:p>
    <w:p>
      <w:pPr>
        <w:ind w:left="260"/>
        <w:spacing w:after="0" w:line="262" w:lineRule="auto"/>
        <w:rPr>
          <w:sz w:val="20"/>
          <w:szCs w:val="20"/>
          <w:color w:val="auto"/>
        </w:rPr>
      </w:pPr>
      <w:r>
        <w:rPr>
          <w:rFonts w:ascii="Arial" w:cs="Arial" w:eastAsia="Arial" w:hAnsi="Arial"/>
          <w:sz w:val="15"/>
          <w:szCs w:val="15"/>
          <w:color w:val="auto"/>
        </w:rPr>
        <w:t>Common Stock, $0.01 par value per share, 300,000 shares authorized, 114,840 and 114,659 shares issued and outstanding, as of March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260" w:right="620"/>
        <w:spacing w:after="0" w:line="262" w:lineRule="auto"/>
        <w:rPr>
          <w:sz w:val="20"/>
          <w:szCs w:val="20"/>
          <w:color w:val="auto"/>
        </w:rPr>
      </w:pPr>
      <w:r>
        <w:rPr>
          <w:rFonts w:ascii="Arial" w:cs="Arial" w:eastAsia="Arial" w:hAnsi="Arial"/>
          <w:sz w:val="15"/>
          <w:szCs w:val="15"/>
          <w:color w:val="auto"/>
        </w:rPr>
        <w:t>Preferred Stock, $0.01 par value per share, 10,000 shares authorized, 0 shares issued and outstanding, as of March 31, 2022 and December 31, 2021,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6"/>
        </w:trPr>
        <w:tc>
          <w:tcPr>
            <w:tcW w:w="2120" w:type="dxa"/>
            <w:vAlign w:val="bottom"/>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219"/>
        </w:trPr>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r>
      <w:tr>
        <w:trPr>
          <w:trHeight w:val="706"/>
        </w:trPr>
        <w:tc>
          <w:tcPr>
            <w:tcW w:w="2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78"/>
        </w:trPr>
        <w:tc>
          <w:tcPr>
            <w:tcW w:w="2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sectPr>
          <w:pgSz w:w="11900" w:h="16838" w:orient="portrait"/>
          <w:cols w:equalWidth="0" w:num="2">
            <w:col w:w="6640" w:space="220"/>
            <w:col w:w="4340"/>
          </w:cols>
          <w:pgMar w:left="340" w:top="1417"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8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2,354</w:t>
            </w: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6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Accumulated other comprehensive loss</w:t>
            </w:r>
          </w:p>
        </w:tc>
        <w:tc>
          <w:tcPr>
            <w:tcW w:w="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2"/>
        </w:trPr>
        <w:tc>
          <w:tcPr>
            <w:tcW w:w="686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9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06"/>
        </w:trPr>
        <w:tc>
          <w:tcPr>
            <w:tcW w:w="6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interests</w:t>
            </w: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686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equity</w:t>
            </w:r>
          </w:p>
        </w:tc>
        <w:tc>
          <w:tcPr>
            <w:tcW w:w="9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r>
      <w:tr>
        <w:trPr>
          <w:trHeight w:val="206"/>
        </w:trPr>
        <w:tc>
          <w:tcPr>
            <w:tcW w:w="6860" w:type="dxa"/>
            <w:vAlign w:val="bottom"/>
          </w:tcPr>
          <w:p>
            <w:pPr>
              <w:ind w:left="880"/>
              <w:spacing w:after="0"/>
              <w:rPr>
                <w:sz w:val="20"/>
                <w:szCs w:val="20"/>
                <w:color w:val="auto"/>
              </w:rPr>
            </w:pPr>
            <w:r>
              <w:rPr>
                <w:rFonts w:ascii="Arial" w:cs="Arial" w:eastAsia="Arial" w:hAnsi="Arial"/>
                <w:sz w:val="16"/>
                <w:szCs w:val="16"/>
                <w:b w:val="1"/>
                <w:bCs w:val="1"/>
                <w:color w:val="auto"/>
              </w:rPr>
              <w:t>Total liabilities and equity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7,126</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4"/>
        </w:trPr>
        <w:tc>
          <w:tcPr>
            <w:tcW w:w="6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Pr>
          <w:p>
            <w:pPr>
              <w:spacing w:after="0"/>
              <w:rPr>
                <w:sz w:val="19"/>
                <w:szCs w:val="19"/>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2021</w:t>
            </w: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Adjustments to reconcile net income to net cash provided by operating activities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Deferred tax benefit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operating assets and liabilities</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8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Proceeds from sales of property and equipment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5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Repayment of debt related to securitization transactions and other</w:t>
            </w:r>
          </w:p>
        </w:tc>
        <w:tc>
          <w:tcPr>
            <w:tcW w:w="5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Net transfers from XPO Logistics, Inc.</w:t>
            </w:r>
          </w:p>
        </w:tc>
        <w:tc>
          <w:tcPr>
            <w:tcW w:w="5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80"/>
              <w:spacing w:after="0" w:line="125"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vMerge w:val="restart"/>
          </w:tcPr>
          <w:p>
            <w:pPr>
              <w:ind w:left="4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8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0"/>
                <w:szCs w:val="10"/>
                <w:color w:val="auto"/>
              </w:rPr>
            </w:pPr>
          </w:p>
        </w:tc>
        <w:tc>
          <w:tcPr>
            <w:tcW w:w="560" w:type="dxa"/>
            <w:vAlign w:val="bottom"/>
            <w:vMerge w:val="restart"/>
          </w:tcPr>
          <w:p>
            <w:pPr>
              <w:jc w:val="center"/>
              <w:ind w:right="48"/>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8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114,659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184"/>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0"/>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Tax withholding on vesting of stock compensation</w:t>
            </w: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01"/>
        </w:trPr>
        <w:tc>
          <w:tcPr>
            <w:tcW w:w="3440" w:type="dxa"/>
            <w:vAlign w:val="bottom"/>
            <w:gridSpan w:val="4"/>
            <w:vMerge w:val="restart"/>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44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Balance as of March 31, 2022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114,840</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4"/>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10"/>
                <w:szCs w:val="10"/>
                <w:color w:val="auto"/>
              </w:rPr>
            </w:pPr>
          </w:p>
        </w:tc>
        <w:tc>
          <w:tcPr>
            <w:tcW w:w="7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80"/>
              <w:spacing w:after="0" w:line="125"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vMerge w:val="restart"/>
          </w:tcPr>
          <w:p>
            <w:pPr>
              <w:ind w:left="4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8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0"/>
                <w:szCs w:val="10"/>
                <w:color w:val="auto"/>
              </w:rPr>
            </w:pPr>
          </w:p>
        </w:tc>
        <w:tc>
          <w:tcPr>
            <w:tcW w:w="560" w:type="dxa"/>
            <w:vAlign w:val="bottom"/>
            <w:vMerge w:val="restart"/>
          </w:tcPr>
          <w:p>
            <w:pPr>
              <w:jc w:val="center"/>
              <w:ind w:right="48"/>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84"/>
        </w:trPr>
        <w:tc>
          <w:tcPr>
            <w:tcW w:w="34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Net transfers from XPO Logistics, Inc.</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5"/>
        </w:trPr>
        <w:tc>
          <w:tcPr>
            <w:tcW w:w="3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(“GXO” or the “Company”) have been prepared in accordance with generally accepted accounting principles in the United States of America (“GAAP”) for interim financial information and pursuant to the rules of the Securities and Exchange Commission (“SEC”). Accordingly, they do not include all of the information and footnotes required by GAAP for complete financial statements. These financial statements have been prepared on a basis that is substantially consistent with the accounting principles applied in our Annual Report on Form 10-K for the year ended December 31, 2021 (the “2021 Form 10-K”). The accompanying unaudited condensed consolidated financial statements and notes thereto should be read in conjunction with the 2021 Form 10-K.</w:t>
      </w:r>
    </w:p>
    <w:p>
      <w:pPr>
        <w:spacing w:after="0" w:line="20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Operating results for the three months ended March 31, 2022, are not necessarily indicative of the results that may be expected for the year ending December 31, 2022.</w:t>
      </w:r>
    </w:p>
    <w:p>
      <w:pPr>
        <w:spacing w:after="0" w:line="2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August 2, 2021, the Company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are recorded within Selling, general and administrative expense; Depreciation and amortization expense; and Transaction and integration costs in the Consolidated Statements of Operations.</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its operations as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October 2021, the Financial Accounting Standards Board (“FASB”) issued ASU No. 2021-08, “Business Combinations (Topic 805): Accounting for Contract Assets and Contract Liabilities from Contracts 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ind w:right="400"/>
        <w:spacing w:after="0" w:line="259" w:lineRule="auto"/>
        <w:rPr>
          <w:sz w:val="20"/>
          <w:szCs w:val="20"/>
          <w:color w:val="auto"/>
        </w:rPr>
      </w:pPr>
      <w:r>
        <w:rPr>
          <w:rFonts w:ascii="Arial" w:cs="Arial" w:eastAsia="Arial" w:hAnsi="Arial"/>
          <w:sz w:val="18"/>
          <w:szCs w:val="18"/>
          <w:color w:val="auto"/>
        </w:rPr>
        <w:t>Customers.” The ASU clarifies that an acquirer of a business should recognize and measure contract assets and contract liabilities in a business combination in accordance with Accounting Standards Codification Topic 606, Revenue from Contracts with Customers. On January 1, 2022, the Company adopted the guidance. The adoption of this new standard did not have a material impact on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The Company intends to apply this guidance when modifications of contracts that include LIBOR occur, which is not expected to have a material impact on the Company’s condensed consolidated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2. Revenue Recognition</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80" w:type="dxa"/>
            <w:vAlign w:val="bottom"/>
            <w:gridSpan w:val="2"/>
          </w:tcPr>
          <w:p>
            <w:pPr>
              <w:spacing w:after="0"/>
              <w:rPr>
                <w:sz w:val="20"/>
                <w:szCs w:val="20"/>
                <w:color w:val="auto"/>
              </w:rPr>
            </w:pPr>
            <w:r>
              <w:rPr>
                <w:rFonts w:ascii="Arial" w:cs="Arial" w:eastAsia="Arial" w:hAnsi="Arial"/>
                <w:sz w:val="18"/>
                <w:szCs w:val="18"/>
                <w:color w:val="auto"/>
              </w:rPr>
              <w:t>Revenue disaggregated by geographical area was as follows:</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9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revenue can also be disaggregated by various verticals, reflecting the customers’ principal industry sector. Revenue disaggregated by industry sector was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0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E-commerce, omnichannel retail and consumer technology</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Food and beverage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Industrial and manufacturing</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Consumer packaged goods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70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25"/>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assets are included within Other current assets and Other long-term assets in the Condensed Consolidated Balance Sheets.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liabilities are included within Other current liabilities and Other long-term liabilities in the Condensed Consolidated Balance Sheets.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Revenue included the following:</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ind w:left="20"/>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included in the beginning of year contract liability balance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March 31, 2022, the fixed consideration component of the Company’s remaining performance obligation was approximately $2.6 billion, and the Company expects to recognize approximately 69%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Clipper Acquisition</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February 28, 2022, the Company and the board of directors of Clipper Logistics plc, a retail logistics company based in Leeds, England (“Clipper”), reached an agreement on the terms of a cash and share offer by the Company for the acquisition of the entire issued ordinary share capital of Clipper for approximately £1.0 billion (approximately $1.3 billion) (the “Clipper Acquisition”). Under the terms of the agreement, Clipper shareholders will be entitled to receive 690 pence (approximately $9.06 as of March 31, 2022) in cash and 0.0359 of a share of GXO common stock per share.</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connection with the Clipper Acquisition, (i) the Company and Clipper entered into a Cooperation Agreement, (ii) the Company entered into a Bridge Term Loan Credit Agreement and (iii) the Company entered into a Term Loan Credit Agreement. For additional information regarding the financing agreements entered in connection with the Clipper Acquisition, see Note 6. Debt and Financing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April 2022, the Clipper Acquisition was approved by Clippers’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Kuehne + Nagel Acquisition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2021, the Company acquired the majority of Kuehne + Nagel’s contract logistics operations in the U.K. Kuehne + Nagel’s operations provide a range of logistics services, including inbound and outbound distribution, reverse logistics management and inventory management. The Company recorded assets and liabilities at fair value. Operating and finance lease assets and liabilities, goodwill, and intangible assets acquired were $300 million, $16 million and $26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engages in restructuring actions as part of its ongoing efforts to best use its resources and infrastructure. These actions generally include severance and facility-related costs and are intended to improve efficiency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is a rollforward of the restructuring liability, which is included in Other current liabilities in the 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79"/>
              </w:rPr>
              <w:t>3</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Charges incurred</w:t>
            </w:r>
          </w:p>
        </w:tc>
        <w:tc>
          <w:tcPr>
            <w:tcW w:w="980" w:type="dxa"/>
            <w:vAlign w:val="bottom"/>
          </w:tcPr>
          <w:p>
            <w:pPr>
              <w:spacing w:after="0"/>
              <w:rPr>
                <w:sz w:val="21"/>
                <w:szCs w:val="21"/>
                <w:color w:val="auto"/>
              </w:rPr>
            </w:pPr>
          </w:p>
        </w:tc>
        <w:tc>
          <w:tcPr>
            <w:tcW w:w="1100" w:type="dxa"/>
            <w:vAlign w:val="bottom"/>
          </w:tcPr>
          <w:p>
            <w:pPr>
              <w:jc w:val="center"/>
              <w:ind w:left="770"/>
              <w:spacing w:after="0"/>
              <w:rPr>
                <w:sz w:val="20"/>
                <w:szCs w:val="20"/>
                <w:color w:val="auto"/>
              </w:rPr>
            </w:pPr>
            <w:r>
              <w:rPr>
                <w:rFonts w:ascii="Arial" w:cs="Arial" w:eastAsia="Arial" w:hAnsi="Arial"/>
                <w:sz w:val="18"/>
                <w:szCs w:val="18"/>
                <w:color w:val="auto"/>
                <w:w w:val="79"/>
              </w:rPr>
              <w:t>5</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color w:val="auto"/>
                <w:w w:val="99"/>
              </w:rPr>
              <w:t>(4)</w:t>
            </w:r>
          </w:p>
        </w:tc>
      </w:tr>
      <w:tr>
        <w:trPr>
          <w:trHeight w:val="237"/>
        </w:trPr>
        <w:tc>
          <w:tcPr>
            <w:tcW w:w="91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79"/>
              </w:rPr>
              <w:t>4</w:t>
            </w:r>
          </w:p>
        </w:tc>
      </w:tr>
      <w:tr>
        <w:trPr>
          <w:trHeight w:val="27"/>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9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remaining restructuring liability at March 31, 2022, primarily relates to severance payments and is expected to be substantially paid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2022, the Company deconsolidated a 50% owned joint venture. The deconsolidation resulted in an $8 million charge recorded in the first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operating leases primarily for real estate, warehouse equipment, trucks, trailers, containers and material handling equipment. In addition, the Company has finance leases for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related to leases were recorded in the Condensed 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40" w:type="dxa"/>
            <w:vAlign w:val="bottom"/>
            <w:gridSpan w:val="2"/>
          </w:tcPr>
          <w:p>
            <w:pPr>
              <w:ind w:left="20"/>
              <w:spacing w:after="0"/>
              <w:rPr>
                <w:sz w:val="20"/>
                <w:szCs w:val="20"/>
                <w:color w:val="auto"/>
              </w:rPr>
            </w:pPr>
            <w:r>
              <w:rPr>
                <w:rFonts w:ascii="Arial" w:cs="Arial" w:eastAsia="Arial" w:hAnsi="Arial"/>
                <w:sz w:val="17"/>
                <w:szCs w:val="17"/>
                <w:i w:val="1"/>
                <w:iCs w:val="1"/>
                <w:color w:val="auto"/>
              </w:rPr>
              <w:t>(In millions)</w:t>
            </w:r>
          </w:p>
        </w:tc>
        <w:tc>
          <w:tcPr>
            <w:tcW w:w="280" w:type="dxa"/>
            <w:vAlign w:val="bottom"/>
          </w:tcPr>
          <w:p>
            <w:pPr>
              <w:spacing w:after="0"/>
              <w:rPr>
                <w:sz w:val="19"/>
                <w:szCs w:val="19"/>
                <w:color w:val="auto"/>
              </w:rPr>
            </w:pPr>
          </w:p>
        </w:tc>
        <w:tc>
          <w:tcPr>
            <w:tcW w:w="1860" w:type="dxa"/>
            <w:vAlign w:val="bottom"/>
            <w:gridSpan w:val="2"/>
          </w:tcPr>
          <w:p>
            <w:pPr>
              <w:ind w:left="180"/>
              <w:spacing w:after="0"/>
              <w:rPr>
                <w:sz w:val="20"/>
                <w:szCs w:val="20"/>
                <w:color w:val="auto"/>
              </w:rPr>
            </w:pPr>
            <w:r>
              <w:rPr>
                <w:rFonts w:ascii="Arial" w:cs="Arial" w:eastAsia="Arial" w:hAnsi="Arial"/>
                <w:sz w:val="17"/>
                <w:szCs w:val="17"/>
                <w:b w:val="1"/>
                <w:bCs w:val="1"/>
                <w:color w:val="auto"/>
              </w:rPr>
              <w:t>March 31, 2022</w:t>
            </w:r>
          </w:p>
        </w:tc>
        <w:tc>
          <w:tcPr>
            <w:tcW w:w="220" w:type="dxa"/>
            <w:vAlign w:val="bottom"/>
          </w:tcPr>
          <w:p>
            <w:pPr>
              <w:spacing w:after="0"/>
              <w:rPr>
                <w:sz w:val="19"/>
                <w:szCs w:val="19"/>
                <w:color w:val="auto"/>
              </w:rPr>
            </w:pPr>
          </w:p>
        </w:tc>
        <w:tc>
          <w:tcPr>
            <w:tcW w:w="1840" w:type="dxa"/>
            <w:vAlign w:val="bottom"/>
          </w:tcPr>
          <w:p>
            <w:pPr>
              <w:jc w:val="right"/>
              <w:ind w:right="251"/>
              <w:spacing w:after="0"/>
              <w:rPr>
                <w:sz w:val="20"/>
                <w:szCs w:val="20"/>
                <w:color w:val="auto"/>
              </w:rPr>
            </w:pPr>
            <w:r>
              <w:rPr>
                <w:rFonts w:ascii="Arial" w:cs="Arial" w:eastAsia="Arial" w:hAnsi="Arial"/>
                <w:sz w:val="17"/>
                <w:szCs w:val="17"/>
                <w:b w:val="1"/>
                <w:bCs w:val="1"/>
                <w:color w:val="auto"/>
                <w:w w:val="96"/>
              </w:rPr>
              <w:t>December 31, 2021</w:t>
            </w:r>
          </w:p>
        </w:tc>
      </w:tr>
      <w:tr>
        <w:trPr>
          <w:trHeight w:val="31"/>
        </w:trPr>
        <w:tc>
          <w:tcPr>
            <w:tcW w:w="6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6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r>
      <w:tr>
        <w:trPr>
          <w:trHeight w:val="21"/>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9"/>
        </w:trPr>
        <w:tc>
          <w:tcPr>
            <w:tcW w:w="6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37"/>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88"/>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 and obligations under finance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Long-term debt and obligations under finance leases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6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160" w:type="dxa"/>
            <w:vAlign w:val="bottom"/>
            <w:gridSpan w:val="7"/>
          </w:tcPr>
          <w:p>
            <w:pPr>
              <w:spacing w:after="0"/>
              <w:rPr>
                <w:sz w:val="20"/>
                <w:szCs w:val="20"/>
                <w:color w:val="auto"/>
              </w:rPr>
            </w:pPr>
            <w:r>
              <w:rPr>
                <w:rFonts w:ascii="Arial" w:cs="Arial" w:eastAsia="Arial" w:hAnsi="Arial"/>
                <w:sz w:val="18"/>
                <w:szCs w:val="18"/>
                <w:color w:val="auto"/>
                <w:w w:val="96"/>
              </w:rPr>
              <w:t>The components of lease expense recorded in the Condensed Consolidated Statements of Operations were as follows: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000" w:type="dxa"/>
            <w:vAlign w:val="bottom"/>
            <w:gridSpan w:val="4"/>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4"/>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000" w:type="dxa"/>
            <w:vAlign w:val="bottom"/>
            <w:gridSpan w:val="4"/>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700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Finance leases:</w:t>
            </w: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Amortization of leased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00" w:type="dxa"/>
            <w:vAlign w:val="bottom"/>
            <w:gridSpan w:val="4"/>
          </w:tcPr>
          <w:p>
            <w:pPr>
              <w:ind w:left="20"/>
              <w:spacing w:after="0"/>
              <w:rPr>
                <w:sz w:val="20"/>
                <w:szCs w:val="20"/>
                <w:color w:val="auto"/>
              </w:rPr>
            </w:pPr>
            <w:r>
              <w:rPr>
                <w:rFonts w:ascii="Arial" w:cs="Arial" w:eastAsia="Arial" w:hAnsi="Arial"/>
                <w:sz w:val="18"/>
                <w:szCs w:val="18"/>
                <w:color w:val="auto"/>
              </w:rPr>
              <w:t>Interest expense on lease liabilities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7000" w:type="dxa"/>
            <w:vAlign w:val="bottom"/>
            <w:gridSpan w:val="4"/>
          </w:tcPr>
          <w:p>
            <w:pPr>
              <w:ind w:left="20"/>
              <w:spacing w:after="0"/>
              <w:rPr>
                <w:sz w:val="20"/>
                <w:szCs w:val="20"/>
                <w:color w:val="auto"/>
              </w:rPr>
            </w:pPr>
            <w:r>
              <w:rPr>
                <w:rFonts w:ascii="Arial" w:cs="Arial" w:eastAsia="Arial" w:hAnsi="Arial"/>
                <w:sz w:val="18"/>
                <w:szCs w:val="18"/>
                <w:color w:val="auto"/>
              </w:rPr>
              <w:t>Total operating and finance lease cost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7000" w:type="dxa"/>
            <w:vAlign w:val="bottom"/>
            <w:gridSpan w:val="4"/>
            <w:vMerge w:val="restart"/>
          </w:tcPr>
          <w:p>
            <w:pPr>
              <w:spacing w:after="0"/>
              <w:rPr>
                <w:sz w:val="20"/>
                <w:szCs w:val="20"/>
                <w:color w:val="auto"/>
              </w:rPr>
            </w:pPr>
            <w:r>
              <w:rPr>
                <w:rFonts w:ascii="Arial" w:cs="Arial" w:eastAsia="Arial" w:hAnsi="Arial"/>
                <w:sz w:val="18"/>
                <w:szCs w:val="18"/>
                <w:color w:val="auto"/>
              </w:rPr>
              <w:t>Supplemental cash flow information was as follows: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gridSpan w:val="4"/>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0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7000" w:type="dxa"/>
            <w:vAlign w:val="bottom"/>
            <w:gridSpan w:val="4"/>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67"/>
        </w:trPr>
        <w:tc>
          <w:tcPr>
            <w:tcW w:w="7000" w:type="dxa"/>
            <w:vAlign w:val="bottom"/>
            <w:gridSpan w:val="4"/>
          </w:tcPr>
          <w:p>
            <w:pPr>
              <w:spacing w:after="0"/>
              <w:rPr>
                <w:sz w:val="20"/>
                <w:szCs w:val="20"/>
                <w:color w:val="auto"/>
              </w:rPr>
            </w:pPr>
            <w:r>
              <w:rPr>
                <w:rFonts w:ascii="Arial" w:cs="Arial" w:eastAsia="Arial" w:hAnsi="Arial"/>
                <w:sz w:val="18"/>
                <w:szCs w:val="18"/>
                <w:b w:val="1"/>
                <w:bCs w:val="1"/>
                <w:color w:val="auto"/>
              </w:rPr>
              <w:t>6. Debt and Financing Arrangements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0" w:type="dxa"/>
            <w:vAlign w:val="bottom"/>
            <w:gridSpan w:val="4"/>
          </w:tcPr>
          <w:p>
            <w:pPr>
              <w:spacing w:after="0"/>
              <w:rPr>
                <w:sz w:val="20"/>
                <w:szCs w:val="20"/>
                <w:color w:val="auto"/>
              </w:rPr>
            </w:pPr>
            <w:r>
              <w:rPr>
                <w:rFonts w:ascii="Arial" w:cs="Arial" w:eastAsia="Arial" w:hAnsi="Arial"/>
                <w:sz w:val="18"/>
                <w:szCs w:val="18"/>
                <w:color w:val="auto"/>
              </w:rPr>
              <w:t>The following table summarizes the carrying value of debt:</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23"/>
        </w:trPr>
        <w:tc>
          <w:tcPr>
            <w:tcW w:w="69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1.65% Unsecured notes due 2026 </w:t>
            </w:r>
            <w:r>
              <w:rPr>
                <w:rFonts w:ascii="Arial" w:cs="Arial" w:eastAsia="Arial" w:hAnsi="Arial"/>
                <w:sz w:val="23"/>
                <w:szCs w:val="23"/>
                <w:color w:val="auto"/>
                <w:vertAlign w:val="superscript"/>
              </w:rPr>
              <w:t>(1)</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70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2.65% Unsecured notes due 2031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7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Total debt and obligations under finance leases</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7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Less: Short-term borrowings and obligations under finance leases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Total long-term debt and obligations under finance leases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80" w:firstLine="8"/>
        <w:spacing w:after="0" w:line="250"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of the 1.65% Unsecured Notes due 2026 is presented net of unamortized debt issuance cost and discount of $3 million and $3 million as of March 31, 2022, and December 31, 2021, respectively.</w:t>
      </w:r>
    </w:p>
    <w:p>
      <w:pPr>
        <w:ind w:right="680" w:firstLine="8"/>
        <w:spacing w:after="0" w:line="255"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of the 2.65% Unsecured Notes due 2031 is presented net of unamortized debt issuance cost and discount of $4 million and $4 million as of March 31, 2022, and December 31, 2021,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March 22, 2022, the Company entered into a Term Loan Credit Agreement that provides a £375 million ($493 million as of March 31, 2022) unsecured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loan facility, which will partially fund the Clipper Acquisition. The Term Loan Credit Agreement consists of two delayed draw term loans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£187.5 million ($246 million as of March 31, 2022). The loans may be borrowed in multiple draws beginning on the acquisition date. The loans mature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and third anniversary following the funding date, respectively. Loans under the Term Loan Credit Agreement bear interest at a fluctuating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annum equal to (a) with respect to borrowings in U.S. dollars, at our option, the alternate base rate or the adjusted secured overnight financing rate and</w:t>
      </w:r>
    </w:p>
    <w:p>
      <w:pPr>
        <w:spacing w:after="0" w:line="32" w:lineRule="exact"/>
        <w:rPr>
          <w:sz w:val="20"/>
          <w:szCs w:val="20"/>
          <w:color w:val="auto"/>
        </w:rPr>
      </w:pPr>
    </w:p>
    <w:p>
      <w:pPr>
        <w:ind w:right="38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borrowings in British Pounds Sterling, the daily simple Sterling Overnight Interbank Average rate (“SONIA”), in each case, plus an applicable margin based on the Company’s credit ratings.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2" w:name="page13"/>
    <w:bookmarkEnd w:id="12"/>
    <w:p>
      <w:pPr>
        <w:ind w:right="20"/>
        <w:spacing w:after="0" w:line="273" w:lineRule="auto"/>
        <w:rPr>
          <w:sz w:val="20"/>
          <w:szCs w:val="20"/>
          <w:color w:val="auto"/>
        </w:rPr>
      </w:pPr>
      <w:r>
        <w:rPr>
          <w:rFonts w:ascii="Arial" w:cs="Arial" w:eastAsia="Arial" w:hAnsi="Arial"/>
          <w:sz w:val="17"/>
          <w:szCs w:val="17"/>
          <w:color w:val="auto"/>
        </w:rPr>
        <w:t>The Term Loan Credit Agreement contains representations and warranties, affirmative and negative covenants and events of default customary for unsecured financings of this type, including negative covenants that, among other things, limit the ability of the Company and its subsidiaries to incur liens, limit the ability of the Company to make certain fundamental changes and limit the ability of certain of its subsidiaries to incur indebtedness, in each case subject to a number of important exceptions and qualifications. In addition, the Term Loan Credit Agreement requires the Company, beginning with the last day of the first full fiscal quarter following the initial funding of loans under the Term Loan Credit Agreement, to maintain a consolidated leverage ratio less than or equal to a specified maximum consolidated leverage ratio.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 Credit Agreement</w:t>
      </w:r>
    </w:p>
    <w:p>
      <w:pPr>
        <w:spacing w:after="0" w:line="23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February 28, 2022, the Company entered into a Bridge Term Loan Credit Agreement that provided a £745 million ($979 million as of March 31, 2022) unsecured term loan facility for the Clipper Acquisition. The Bridge Term Loan Credit Agreement matures 364 days after an advance. Loans under the Bridge Term Loan Credit Agreement bear interest at the daily simple SONIA rate plus an applicable margin calculated based on the Company’s credit ratings. Interest will be paid in arrears, initially on the three-month anniversary of the acquisition closing date and thereafter on the date that is three months following the previous payment date.</w:t>
      </w: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Concurrently with the effectiveness of the Term Loan Credit Agreement, the Company reduced commitments under the Bridge Term Loan Credit Agreement by the aggregate amount of commitments under the Term Loan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2021, the Company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sells certain of its trade accounts receivables on a non-recourse basis to third-party financial institutions under various factoring agreements. The Company also sold certain European trade accounts receivable under a securitization program. In the first quarter of 2022, the Company terminated its securitization program. The Company accounts for these transactions as sales of receivables and presents cash proceeds as cash provided by operating activities in the Consolidated Statements of Cash Flows. The Company uses the sale of certain receivables to help manage its working capital.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Information related to the trade receivables sold was as follows: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6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00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7"/>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Factoring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Securitization program</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48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was in compliance with the covenants contained in its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and Financial Instruments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ind w:left="660" w:right="88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March 31, 2022 and December 31, 2021, due to their short-term 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debt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w w:val="94"/>
              </w:rPr>
              <w:t>March 31, 2022</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6"/>
                <w:szCs w:val="16"/>
                <w:b w:val="1"/>
                <w:bCs w:val="1"/>
                <w:color w:val="auto"/>
              </w:rPr>
              <w:t>December 31, 2021</w:t>
            </w:r>
          </w:p>
        </w:tc>
      </w:tr>
      <w:tr>
        <w:trPr>
          <w:trHeight w:val="237"/>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Carrying Value</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Carrying Value</w:t>
            </w:r>
          </w:p>
        </w:tc>
      </w:tr>
      <w:tr>
        <w:trPr>
          <w:trHeight w:val="24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1.65% Unsecured notes due 2026</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397</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2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2.65% Unsecured notes due 2031</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89"/>
              </w:rPr>
              <w:t>396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These financial instruments are not used for trading or other speculative purposes. The Company does not expect to incur any losses as a result of counterparty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Derivatives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9180" w:type="dxa"/>
            <w:vAlign w:val="bottom"/>
            <w:gridSpan w:val="7"/>
          </w:tcPr>
          <w:p>
            <w:pPr>
              <w:spacing w:after="0"/>
              <w:rPr>
                <w:sz w:val="20"/>
                <w:szCs w:val="20"/>
                <w:color w:val="auto"/>
              </w:rPr>
            </w:pPr>
            <w:r>
              <w:rPr>
                <w:rFonts w:ascii="Arial" w:cs="Arial" w:eastAsia="Arial" w:hAnsi="Arial"/>
                <w:sz w:val="18"/>
                <w:szCs w:val="18"/>
                <w:color w:val="auto"/>
              </w:rPr>
              <w:t>The fair value of the Company’s derivative instruments and the related notional amounts were as follows:</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March 31, 2022</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Notional Amount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Balance Sheet Caption</w:t>
            </w:r>
          </w:p>
        </w:tc>
        <w:tc>
          <w:tcPr>
            <w:tcW w:w="360" w:type="dxa"/>
            <w:vAlign w:val="bottom"/>
          </w:tcPr>
          <w:p>
            <w:pPr>
              <w:spacing w:after="0"/>
              <w:rPr>
                <w:sz w:val="19"/>
                <w:szCs w:val="19"/>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Cross-currency swap agreements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487</w:t>
            </w:r>
          </w:p>
        </w:tc>
        <w:tc>
          <w:tcPr>
            <w:tcW w:w="10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Foreign currency option contracts</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315</w:t>
            </w:r>
          </w:p>
        </w:tc>
        <w:tc>
          <w:tcPr>
            <w:tcW w:w="10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(1) In the first quarter of 2022, the Company extended certain cross-currency swap agreements scheduled to mature in 2022. The new maturity of these cross-currency swap agreements is 2027.</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Notional Amount</w:t>
            </w:r>
          </w:p>
        </w:tc>
        <w:tc>
          <w:tcPr>
            <w:tcW w:w="3000" w:type="dxa"/>
            <w:vAlign w:val="bottom"/>
            <w:gridSpan w:val="2"/>
          </w:tcPr>
          <w:p>
            <w:pPr>
              <w:ind w:left="580"/>
              <w:spacing w:after="0"/>
              <w:rPr>
                <w:sz w:val="20"/>
                <w:szCs w:val="20"/>
                <w:color w:val="auto"/>
              </w:rPr>
            </w:pPr>
            <w:r>
              <w:rPr>
                <w:rFonts w:ascii="Arial" w:cs="Arial" w:eastAsia="Arial" w:hAnsi="Arial"/>
                <w:sz w:val="18"/>
                <w:szCs w:val="18"/>
                <w:b w:val="1"/>
                <w:bCs w:val="1"/>
                <w:color w:val="auto"/>
              </w:rPr>
              <w:t>Balance Sheet Caption</w:t>
            </w:r>
          </w:p>
        </w:tc>
        <w:tc>
          <w:tcPr>
            <w:tcW w:w="360" w:type="dxa"/>
            <w:vAlign w:val="bottom"/>
          </w:tcPr>
          <w:p>
            <w:pPr>
              <w:spacing w:after="0"/>
              <w:rPr>
                <w:sz w:val="19"/>
                <w:szCs w:val="19"/>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Cross-currency swap agreements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Cross-currency swap agreements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option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Foreign currency option contracts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31, 2022 and December 31, 2021, the derivatives are classified as Level 2 within the fair value hierarchy. The derivatives are valued using inputs other than quoted prices such as foreign exchange rates and yield curves.</w:t>
      </w:r>
    </w:p>
    <w:p>
      <w:pPr>
        <w:spacing w:after="0" w:line="197"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The effect of net investment hedges on Accumulated Other Comprehensive Income (“AOCI”) and the Condensed Consolidated Statements of Operations was as follows:</w:t>
      </w: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6"/>
          </w:tcPr>
          <w:p>
            <w:pPr>
              <w:jc w:val="center"/>
              <w:ind w:left="1935"/>
              <w:spacing w:after="0"/>
              <w:rPr>
                <w:sz w:val="20"/>
                <w:szCs w:val="20"/>
                <w:color w:val="auto"/>
              </w:rPr>
            </w:pPr>
            <w:r>
              <w:rPr>
                <w:rFonts w:ascii="Arial" w:cs="Arial" w:eastAsia="Arial" w:hAnsi="Arial"/>
                <w:sz w:val="16"/>
                <w:szCs w:val="16"/>
                <w:b w:val="1"/>
                <w:bCs w:val="1"/>
                <w:color w:val="auto"/>
                <w:w w:val="93"/>
              </w:rPr>
              <w:t>Three Months Ended March 31, 2022</w:t>
            </w: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36"/>
              <w:spacing w:after="0" w:line="158" w:lineRule="exact"/>
              <w:rPr>
                <w:sz w:val="20"/>
                <w:szCs w:val="20"/>
                <w:color w:val="auto"/>
              </w:rPr>
            </w:pPr>
            <w:r>
              <w:rPr>
                <w:rFonts w:ascii="Arial" w:cs="Arial" w:eastAsia="Arial" w:hAnsi="Arial"/>
                <w:sz w:val="16"/>
                <w:szCs w:val="16"/>
                <w:b w:val="1"/>
                <w:bCs w:val="1"/>
                <w:color w:val="auto"/>
                <w:w w:val="90"/>
              </w:rPr>
              <w:t>Gain or (Loss) Recognized in</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9"/>
              </w:rPr>
              <w:t>Gain or (Loss) Recognized in</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Gain or (Loss) Reclassified</w:t>
            </w:r>
          </w:p>
        </w:tc>
        <w:tc>
          <w:tcPr>
            <w:tcW w:w="100" w:type="dxa"/>
            <w:vAlign w:val="bottom"/>
          </w:tcPr>
          <w:p>
            <w:pPr>
              <w:spacing w:after="0"/>
              <w:rPr>
                <w:sz w:val="14"/>
                <w:szCs w:val="14"/>
                <w:color w:val="auto"/>
              </w:rPr>
            </w:pPr>
          </w:p>
        </w:tc>
        <w:tc>
          <w:tcPr>
            <w:tcW w:w="212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93"/>
              </w:rPr>
              <w:t>Net Income on Derivative</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89"/>
              </w:rPr>
              <w:t>(Excluded from effectiveness</w:t>
            </w:r>
          </w:p>
        </w:tc>
        <w:tc>
          <w:tcPr>
            <w:tcW w:w="0" w:type="dxa"/>
            <w:vAlign w:val="bottom"/>
          </w:tcPr>
          <w:p>
            <w:pPr>
              <w:spacing w:after="0"/>
              <w:rPr>
                <w:sz w:val="1"/>
                <w:szCs w:val="1"/>
                <w:color w:val="auto"/>
              </w:rPr>
            </w:pPr>
          </w:p>
        </w:tc>
      </w:tr>
      <w:tr>
        <w:trPr>
          <w:trHeight w:val="216"/>
        </w:trPr>
        <w:tc>
          <w:tcPr>
            <w:tcW w:w="4360" w:type="dxa"/>
            <w:vAlign w:val="bottom"/>
            <w:gridSpan w:val="2"/>
            <w:vMerge w:val="continue"/>
          </w:tcPr>
          <w:p>
            <w:pPr>
              <w:spacing w:after="0"/>
              <w:rPr>
                <w:sz w:val="18"/>
                <w:szCs w:val="18"/>
                <w:color w:val="auto"/>
              </w:rPr>
            </w:pPr>
          </w:p>
        </w:tc>
        <w:tc>
          <w:tcPr>
            <w:tcW w:w="23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3"/>
              </w:rPr>
              <w:t>Other Comprehensive Income</w:t>
            </w:r>
          </w:p>
        </w:tc>
        <w:tc>
          <w:tcPr>
            <w:tcW w:w="2320" w:type="dxa"/>
            <w:vAlign w:val="bottom"/>
            <w:gridSpan w:val="3"/>
          </w:tcPr>
          <w:p>
            <w:pPr>
              <w:jc w:val="right"/>
              <w:ind w:right="180"/>
              <w:spacing w:after="0" w:line="216" w:lineRule="exact"/>
              <w:rPr>
                <w:sz w:val="20"/>
                <w:szCs w:val="20"/>
                <w:color w:val="auto"/>
              </w:rPr>
            </w:pPr>
            <w:r>
              <w:rPr>
                <w:rFonts w:ascii="Arial" w:cs="Arial" w:eastAsia="Arial" w:hAnsi="Arial"/>
                <w:sz w:val="16"/>
                <w:szCs w:val="16"/>
                <w:b w:val="1"/>
                <w:bCs w:val="1"/>
                <w:color w:val="auto"/>
                <w:w w:val="95"/>
              </w:rPr>
              <w:t>from AOCI into Net Income</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8"/>
                <w:szCs w:val="18"/>
                <w:color w:val="auto"/>
              </w:rPr>
            </w:pPr>
          </w:p>
        </w:tc>
        <w:tc>
          <w:tcPr>
            <w:tcW w:w="2120" w:type="dxa"/>
            <w:vAlign w:val="bottom"/>
          </w:tcPr>
          <w:p>
            <w:pPr>
              <w:jc w:val="center"/>
              <w:ind w:right="36"/>
              <w:spacing w:after="0" w:line="216" w:lineRule="exact"/>
              <w:rPr>
                <w:sz w:val="20"/>
                <w:szCs w:val="20"/>
                <w:color w:val="auto"/>
              </w:rPr>
            </w:pPr>
            <w:r>
              <w:rPr>
                <w:rFonts w:ascii="Arial" w:cs="Arial" w:eastAsia="Arial" w:hAnsi="Arial"/>
                <w:sz w:val="16"/>
                <w:szCs w:val="16"/>
                <w:b w:val="1"/>
                <w:bCs w:val="1"/>
                <w:color w:val="auto"/>
                <w:w w:val="85"/>
              </w:rPr>
              <w:t xml:space="preserve">testing) </w:t>
            </w:r>
            <w:r>
              <w:rPr>
                <w:rFonts w:ascii="Arial" w:cs="Arial" w:eastAsia="Arial" w:hAnsi="Arial"/>
                <w:sz w:val="21"/>
                <w:szCs w:val="21"/>
                <w:b w:val="1"/>
                <w:bCs w:val="1"/>
                <w:color w:val="auto"/>
                <w:w w:val="85"/>
                <w:vertAlign w:val="superscript"/>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Cross-currency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Interest expense in the Condensed Consolidated Statements of Operations.</w:t>
      </w:r>
    </w:p>
    <w:p>
      <w:pPr>
        <w:spacing w:after="0" w:line="24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gain recognized in earnings for foreign currency option contracts not designated as hedging instruments was $8 million for the three months ended March 31, 2022, of which $6 million was unrealized. These amounts are recorded in Other income, net in the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in the condensed consolidated financial statements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2021, the Company became the plan sponsor for a retirement plan in the U.K. (the “U.K. Retirement Plan”). Components of the net periodic benefit cost under the U.K. Retirement Plan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23"/>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p>
        </w:tc>
      </w:tr>
      <w:tr>
        <w:trPr>
          <w:trHeight w:val="248"/>
        </w:trPr>
        <w:tc>
          <w:tcPr>
            <w:tcW w:w="70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periodic benefit income </w:t>
            </w:r>
            <w:r>
              <w:rPr>
                <w:rFonts w:ascii="Arial" w:cs="Arial" w:eastAsia="Arial" w:hAnsi="Arial"/>
                <w:sz w:val="23"/>
                <w:szCs w:val="23"/>
                <w:color w:val="auto"/>
                <w:vertAlign w:val="superscript"/>
              </w:rPr>
              <w:t>(1)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Net periodic benefit income is recorded within Other income, net in the Condensed Consolidated Statements of Operations.</w:t>
      </w:r>
    </w:p>
    <w:p>
      <w:pPr>
        <w:spacing w:after="0" w:line="2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also maintains defined benefit pension plans for some of its foreign subsidiaries that are excluded from the disclosures due to their immateriality.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costs for defined contribution plans were $4 million for the three months ended March 31, 2022 and 2021, and were primarily included within Direct operating expenses in the Condensed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9. Earnings per Share</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6980" w:type="dxa"/>
            <w:vAlign w:val="bottom"/>
            <w:gridSpan w:val="2"/>
          </w:tcPr>
          <w:p>
            <w:pPr>
              <w:spacing w:after="0"/>
              <w:rPr>
                <w:sz w:val="20"/>
                <w:szCs w:val="20"/>
                <w:color w:val="auto"/>
              </w:rPr>
            </w:pPr>
            <w:r>
              <w:rPr>
                <w:rFonts w:ascii="Arial" w:cs="Arial" w:eastAsia="Arial" w:hAnsi="Arial"/>
                <w:sz w:val="18"/>
                <w:szCs w:val="18"/>
                <w:color w:val="auto"/>
              </w:rPr>
              <w:t>The computations of basic and diluted earnings per share were as follows:</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shares in thousands, except per share data)</w:t>
            </w:r>
          </w:p>
        </w:tc>
        <w:tc>
          <w:tcPr>
            <w:tcW w:w="500" w:type="dxa"/>
            <w:vAlign w:val="bottom"/>
          </w:tcPr>
          <w:p>
            <w:pPr>
              <w:spacing w:after="0"/>
              <w:rPr>
                <w:sz w:val="19"/>
                <w:szCs w:val="19"/>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223"/>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shares</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6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weighted-average common shares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effect of stock-based awards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Diluted weighted-average common shares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56"/>
        </w:trPr>
        <w:tc>
          <w:tcPr>
            <w:tcW w:w="6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61" w:lineRule="exact"/>
        <w:rPr>
          <w:sz w:val="20"/>
          <w:szCs w:val="20"/>
          <w:color w:val="auto"/>
        </w:rPr>
      </w:pPr>
    </w:p>
    <w:p>
      <w:pPr>
        <w:ind w:firstLine="8"/>
        <w:spacing w:after="0" w:line="273"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August 2, 2021, 114,626,250 shares of common stock of the Company were distributed and began regular-way trading. This share amount is utilized for the calculation of basic and diluted earnings per share for the three months ended March 31, 2021.</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March 31, 2022, approximately 1.4 million shares are excluded from the calculation of diluted earnings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10. Stockholders’ Equity</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6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changes in AOCI by component:</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8"/>
              </w:rPr>
              <w:t>Foreign Currency</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2"/>
              </w:rPr>
              <w:t>Less: AOCI</w:t>
            </w:r>
          </w:p>
        </w:tc>
        <w:tc>
          <w:tcPr>
            <w:tcW w:w="140" w:type="dxa"/>
            <w:vAlign w:val="bottom"/>
          </w:tcPr>
          <w:p>
            <w:pPr>
              <w:spacing w:after="0"/>
              <w:rPr>
                <w:sz w:val="17"/>
                <w:szCs w:val="17"/>
                <w:color w:val="auto"/>
              </w:rPr>
            </w:pPr>
          </w:p>
        </w:tc>
        <w:tc>
          <w:tcPr>
            <w:tcW w:w="130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rPr>
              <w:t>AOCI</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Defined Benefit</w:t>
            </w:r>
          </w:p>
        </w:tc>
        <w:tc>
          <w:tcPr>
            <w:tcW w:w="200" w:type="dxa"/>
            <w:vAlign w:val="bottom"/>
          </w:tcPr>
          <w:p>
            <w:pPr>
              <w:spacing w:after="0"/>
              <w:rPr>
                <w:sz w:val="15"/>
                <w:szCs w:val="15"/>
                <w:color w:val="auto"/>
              </w:rPr>
            </w:pPr>
          </w:p>
        </w:tc>
        <w:tc>
          <w:tcPr>
            <w:tcW w:w="16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attributable to</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14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noncontrolling</w:t>
            </w:r>
          </w:p>
        </w:tc>
        <w:tc>
          <w:tcPr>
            <w:tcW w:w="140" w:type="dxa"/>
            <w:vAlign w:val="bottom"/>
          </w:tcPr>
          <w:p>
            <w:pPr>
              <w:spacing w:after="0"/>
              <w:rPr>
                <w:sz w:val="15"/>
                <w:szCs w:val="15"/>
                <w:color w:val="auto"/>
              </w:rPr>
            </w:pPr>
          </w:p>
        </w:tc>
        <w:tc>
          <w:tcPr>
            <w:tcW w:w="1300" w:type="dxa"/>
            <w:vAlign w:val="bottom"/>
          </w:tcPr>
          <w:p>
            <w:pPr>
              <w:jc w:val="center"/>
              <w:ind w:right="51"/>
              <w:spacing w:after="0" w:line="176" w:lineRule="exact"/>
              <w:rPr>
                <w:sz w:val="20"/>
                <w:szCs w:val="20"/>
                <w:color w:val="auto"/>
              </w:rPr>
            </w:pPr>
            <w:r>
              <w:rPr>
                <w:rFonts w:ascii="Arial" w:cs="Arial" w:eastAsia="Arial" w:hAnsi="Arial"/>
                <w:sz w:val="18"/>
                <w:szCs w:val="18"/>
                <w:b w:val="1"/>
                <w:bCs w:val="1"/>
                <w:color w:val="auto"/>
                <w:w w:val="93"/>
              </w:rPr>
              <w:t>attributable to</w:t>
            </w:r>
          </w:p>
        </w:tc>
        <w:tc>
          <w:tcPr>
            <w:tcW w:w="0" w:type="dxa"/>
            <w:vAlign w:val="bottom"/>
          </w:tcPr>
          <w:p>
            <w:pPr>
              <w:spacing w:after="0"/>
              <w:rPr>
                <w:sz w:val="1"/>
                <w:szCs w:val="1"/>
                <w:color w:val="auto"/>
              </w:rPr>
            </w:pPr>
          </w:p>
        </w:tc>
      </w:tr>
      <w:tr>
        <w:trPr>
          <w:trHeight w:val="229"/>
        </w:trPr>
        <w:tc>
          <w:tcPr>
            <w:tcW w:w="5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Plan</w:t>
            </w:r>
          </w:p>
        </w:tc>
        <w:tc>
          <w:tcPr>
            <w:tcW w:w="20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19"/>
                <w:szCs w:val="19"/>
                <w:color w:val="auto"/>
              </w:rPr>
            </w:pPr>
          </w:p>
        </w:tc>
        <w:tc>
          <w:tcPr>
            <w:tcW w:w="130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GXO</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Unrealized gain (loss), net of tax</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to net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Deconsolidation of variable interest entity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8"/>
              </w:rPr>
              <w:t>Foreign Currency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Less: AOCI</w:t>
            </w:r>
          </w:p>
        </w:tc>
        <w:tc>
          <w:tcPr>
            <w:tcW w:w="140" w:type="dxa"/>
            <w:vAlign w:val="bottom"/>
          </w:tcPr>
          <w:p>
            <w:pPr>
              <w:spacing w:after="0"/>
              <w:rPr>
                <w:sz w:val="24"/>
                <w:szCs w:val="24"/>
                <w:color w:val="auto"/>
              </w:rPr>
            </w:pPr>
          </w:p>
        </w:tc>
        <w:tc>
          <w:tcPr>
            <w:tcW w:w="130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rPr>
              <w:t>AOCI</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Defined Benefit</w:t>
            </w:r>
          </w:p>
        </w:tc>
        <w:tc>
          <w:tcPr>
            <w:tcW w:w="200" w:type="dxa"/>
            <w:vAlign w:val="bottom"/>
          </w:tcPr>
          <w:p>
            <w:pPr>
              <w:spacing w:after="0"/>
              <w:rPr>
                <w:sz w:val="15"/>
                <w:szCs w:val="15"/>
                <w:color w:val="auto"/>
              </w:rPr>
            </w:pPr>
          </w:p>
        </w:tc>
        <w:tc>
          <w:tcPr>
            <w:tcW w:w="16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attributable to</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14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noncontrolling</w:t>
            </w:r>
          </w:p>
        </w:tc>
        <w:tc>
          <w:tcPr>
            <w:tcW w:w="140" w:type="dxa"/>
            <w:vAlign w:val="bottom"/>
          </w:tcPr>
          <w:p>
            <w:pPr>
              <w:spacing w:after="0"/>
              <w:rPr>
                <w:sz w:val="15"/>
                <w:szCs w:val="15"/>
                <w:color w:val="auto"/>
              </w:rPr>
            </w:pPr>
          </w:p>
        </w:tc>
        <w:tc>
          <w:tcPr>
            <w:tcW w:w="1300" w:type="dxa"/>
            <w:vAlign w:val="bottom"/>
          </w:tcPr>
          <w:p>
            <w:pPr>
              <w:jc w:val="center"/>
              <w:ind w:right="51"/>
              <w:spacing w:after="0" w:line="176" w:lineRule="exact"/>
              <w:rPr>
                <w:sz w:val="20"/>
                <w:szCs w:val="20"/>
                <w:color w:val="auto"/>
              </w:rPr>
            </w:pPr>
            <w:r>
              <w:rPr>
                <w:rFonts w:ascii="Arial" w:cs="Arial" w:eastAsia="Arial" w:hAnsi="Arial"/>
                <w:sz w:val="18"/>
                <w:szCs w:val="18"/>
                <w:b w:val="1"/>
                <w:bCs w:val="1"/>
                <w:color w:val="auto"/>
                <w:w w:val="93"/>
              </w:rPr>
              <w:t>attributable to</w:t>
            </w:r>
          </w:p>
        </w:tc>
        <w:tc>
          <w:tcPr>
            <w:tcW w:w="0" w:type="dxa"/>
            <w:vAlign w:val="bottom"/>
          </w:tcPr>
          <w:p>
            <w:pPr>
              <w:spacing w:after="0"/>
              <w:rPr>
                <w:sz w:val="1"/>
                <w:szCs w:val="1"/>
                <w:color w:val="auto"/>
              </w:rPr>
            </w:pPr>
          </w:p>
        </w:tc>
      </w:tr>
      <w:tr>
        <w:trPr>
          <w:trHeight w:val="229"/>
        </w:trPr>
        <w:tc>
          <w:tcPr>
            <w:tcW w:w="5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Plan</w:t>
            </w:r>
          </w:p>
        </w:tc>
        <w:tc>
          <w:tcPr>
            <w:tcW w:w="20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19"/>
                <w:szCs w:val="19"/>
                <w:color w:val="auto"/>
              </w:rPr>
            </w:pPr>
          </w:p>
        </w:tc>
        <w:tc>
          <w:tcPr>
            <w:tcW w:w="130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GXO</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Unrealized gain (loss), net of tax</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to net income</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is involved, and will continue to be involved, in numerous legal proceedings arising out of the conduct of its business. These proceedings may include personal injury claims arising from the transportation and handling of goods, contractual disputes and employment-related claims, including alleged violations of wage and hour laws.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incurred related to these matters are expensed as incurred.</w:t>
      </w: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21" w:right="8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should be read in conjunction with the audited consolidated financial statements and notes thereto included in the Company’s Annual Report on Form 10-K for the fiscal year ended December 31, 2021, as filed with the SEC on February 17, 2022 (the “2021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GXO Logistics, Inc., together with its subsidiaries (“GXO,” the “Company” or “we”), is the largest pure-play contract logistics provider in the world and a foremost innovator in an industry propelled by strong secular tailwinds.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expanding in scope.</w:t>
      </w:r>
    </w:p>
    <w:p>
      <w:pPr>
        <w:spacing w:after="0" w:line="21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technology to manage advanced automation, labor productivity, safety and the complex flow of goods within sophisticated logistics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ind w:right="60"/>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August 2, 2021, the Company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are recorded within Selling, general and administrative expense; Depreciation and amortization expense; and Transaction and integration costs in the Consolidated Statements of Operations.</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single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Clipper Acquisition</w:t>
      </w:r>
    </w:p>
    <w:p>
      <w:pPr>
        <w:spacing w:after="0" w:line="25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February 28, 2022, the Company and the board of directors of Clipper Logistics plc, a retail logistics company based in Leeds, England (“Clipper”), reached an agreement on the terms of a cash and share offer by the Company for the acquisition of the entire issued ordinary share capital of Clipper for approximately £1.0 billion (approximately $1.3 billion) (the “Clipper Acquisition”).</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Clipper Acquisition, (i) the Company and Clipper entered into a Cooperation Agreement, (ii) the Company entered into a Bridge Term Loan Credit Agreement and (iii) the Company entered into a Term Loan Credit Agreement. In April 2022, the Clipper Acquisition was approved by Clippers’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8"/>
                <w:szCs w:val="18"/>
                <w:b w:val="1"/>
                <w:bCs w:val="1"/>
                <w:color w:val="auto"/>
                <w:w w:val="93"/>
              </w:rPr>
              <w:t>Three Months Ended March 31,</w:t>
            </w:r>
          </w:p>
        </w:tc>
        <w:tc>
          <w:tcPr>
            <w:tcW w:w="1520" w:type="dxa"/>
            <w:vAlign w:val="bottom"/>
            <w:tcBorders>
              <w:bottom w:val="single" w:sz="8" w:color="auto"/>
            </w:tcBorders>
          </w:tcPr>
          <w:p>
            <w:pPr>
              <w:spacing w:after="0"/>
              <w:rPr>
                <w:sz w:val="22"/>
                <w:szCs w:val="22"/>
                <w:color w:val="auto"/>
              </w:rPr>
            </w:pP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Direct operating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5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Restructuring costs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5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Revenue for the three months ended March 31, 2022, increased by 14%, or $261 million, to $2.1 billion compared with $1.8 billion for the same period in 2021. For the three months ended March 31, 2022, our North America, Asia and Pacific operations reported growth of 15% and our European operations reported growth of 14%. Foreign currency movement decreased revenue by approximately 5% for the three months ended March 31,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Direct operating expenses comprise both fixed and variable expenses and consist of operating costs related to our logistics facilities, including personnel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costs and facility and equipment expenses, such as rent, utilities, equipment maintenance and repair, transportation costs, costs of materials and supplies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information technology expenses. Direct operating expense for the three months ended March 31, 2022 increased by 15%, or $228 million,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 billion compared with $1.5 billion for the same period in 2021. As a percentage of revenue, direct operating expense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2022, was 84% compared with 83% for the same period in 2021. Direct operating expense increased primarily due to higher personnel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temporary labor expense of $180 million, as well as higher third-party facilities and transportation costs of $42 million.</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 (“SG&amp;A”) primarily consists of salary and benefits for executive and administration functions, professional fees and legal costs. SG&amp;A for the three months ended March 31, 2022, increased by 11%, or $19 million, to $190 million compared with $171 million for the same period in 2021. SG&amp;A increased due to higher personnel costs, primarily for certain administration functions, reflecting the growth in our business.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and amortization expense for the three months ended March 31, 2022, decreased by $3 million to $76 million compared with $79 million for the same period in 2021. Depreciation and amortization expense included the amortization of intangible assets of $14 million for both the three months ended March 31, 2022, and 2021. For the three months ended March 31, 2021, depreciation expense included $6 million allocated from XPO before the Separation.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Transaction and integration costs for the three months ended March 31, 2022, were $19 million compared with $18 million for the same period in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 and integration costs in 2022 relate to the Clipper Acquisition and transaction and integration costs in 2021 primarily relate to the Separation.</w:t>
      </w:r>
    </w:p>
    <w:p>
      <w:pPr>
        <w:spacing w:after="0" w:line="2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Restructuring costs and other for the three months ended March 31, 2022, were $13 million compared with $4 million for the same period in 2021. For the three months ended March 31, 2022, restructuring costs and other included $5 million primarily related to severance costs and $8 million related to the deconsolidation of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right="100"/>
        <w:spacing w:after="0" w:line="263" w:lineRule="auto"/>
        <w:rPr>
          <w:sz w:val="20"/>
          <w:szCs w:val="20"/>
          <w:color w:val="auto"/>
        </w:rPr>
      </w:pPr>
      <w:r>
        <w:rPr>
          <w:rFonts w:ascii="Arial" w:cs="Arial" w:eastAsia="Arial" w:hAnsi="Arial"/>
          <w:sz w:val="18"/>
          <w:szCs w:val="18"/>
          <w:color w:val="auto"/>
        </w:rPr>
        <w:t>Other income, net consists primarily of pension income and foreign exchange gains and losses. Other income, net for the three months ended March 31, 2022, was $16 million compared with $1 million for the same period in 2021. For the three months ended March 31, 2022, pension income was $9 million and the gain on foreign currency options was $8 million.</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expense, net for the three months ended March 31, 2022, was $4 million compared with $5 million for the same period in 2021. For the three months ended March 31, 2022, interest expense primarily relates to debt issued in 2021 and capital lease obligations, partially offset by interest income on the cross-currency swap agreements. For the three months ended March 31, 2021, interest expense primarily relates to related-party debt obligations with XPO before the Separation and capital lease obligations.</w:t>
      </w:r>
    </w:p>
    <w:p>
      <w:pPr>
        <w:spacing w:after="0" w:line="21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Income before income taxes for the three months ended March 31, 2022, increased by $23 million to $49 million compared with $26 million for the same period in 2021. The increase was primarily due to higher revenue and increased other income as a result of pension income and foreign currency options, partially offset by the deconsolidation of a joint venture.</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Income tax expense for the three months ended March 31, 2022, was $11 million compared with a $9 million expense for the same period in 2021. Our effective tax rate was 22.1% for the three months ended March 31, 2022, compared with 33.4% for the same period in 2021. The effective tax rates for the first quarters of 2022 and 2021 were based on forecasted full-year effective tax rates, adjusted for discrete items that occurred within the periods presented. The effective tax rate for the first quarter of 2022 was driven by pre-tax losses in certain jurisdictions for which no benefit was recognized and offset by discrete items having a tax benefit of $3 million from stock-based compensation. The effective tax rate for the first quarter of 2021 was driven by pre-tax losses in certain jurisdictions for which no benefit was recognized and discrete items having a tax expense of $2 million for adjustment of prior period taxes offset by a tax benefit of $2 million from stock-based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ability to fund our operations and anticipated capital needs is reliant upon the generation of cash from operations, supplemented as necessary by periodic utilization of our revolving credit facility. Our principal uses of cash in the future will be primarily to fund our operations, working capital needs, capital expenditures, repayment of borrowings and strategic business development transactions. The timing and magnitude of our start-ups can vary and may positively or negatively impact our cash flows.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5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On March 22, 2022, we entered into a Term Loan Credit Agreement that provides a £375 million ($493 million as of March 31, 2022) unsecured term loan facility, which will fund the Clipper Acquisition. The Term Loan Credit Agreement consists of two delayed draw term loans of £187.5 million</w:t>
      </w:r>
    </w:p>
    <w:p>
      <w:pPr>
        <w:ind w:right="20"/>
        <w:spacing w:after="0" w:line="253" w:lineRule="auto"/>
        <w:rPr>
          <w:sz w:val="20"/>
          <w:szCs w:val="20"/>
          <w:color w:val="auto"/>
        </w:rPr>
      </w:pPr>
      <w:r>
        <w:rPr>
          <w:rFonts w:ascii="Arial" w:cs="Arial" w:eastAsia="Arial" w:hAnsi="Arial"/>
          <w:sz w:val="18"/>
          <w:szCs w:val="18"/>
          <w:color w:val="auto"/>
        </w:rPr>
        <w:t>($246 million as of March 31, 2022) each. The loans may be borrowed in multiple draws beginning on the acquisition date. The loans mature on the second and third anniversary following the funding date, respectively. Loans under the Term Loan Credit Agreement bear interest at a fluctuating rate per annum equal to (a) with respect to borrowings in U.S. dollars, at our option, the alternate base rate or the adjusted secured overnight financing rate and (b) with respect to borrowings in British Pounds Sterling, the daily simple Sterling Overnight Interbank Average rate (“SONIA”), in each case, plus an applicable margin based on the Company’s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Bridge Term Loan Credit Agreement</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28, 2022, we entered into a Bridge Term Loan Credit Agreement that provided a £745 million ($979 million as of March 31, 2022) unsecured term loan facility for the Clipper Acquisition. The Bridge Term Loan Credit Agreement matures 364 days after an advance. Loans under the Bridge Term Loan Credit Agreement bear interest at the daily simple SONIA rate plus an applicable margin calculated based on the Company’s credit ratings. Interest will be paid in arrears, initially on the three-month anniversary of the acquisition closing date and thereafter on the date that is three months following the previous payment date.</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Concurrently with the effectiveness of the Term Loan Credit Agreement, we reduced commitments under the Bridge Term Loan Credit Agreement by the aggregate amount of commitments under the Term Loan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2021, we completed an offering of $800 million aggregate principal amount of notes, consisting of $400 million of notes due 2026 (the “2026 Notes”) and $400 million of notes due 2031 (the “2031 Notes”). The 2026 Notes bear interest at a rate of 1.65% per annum payable semiannually in cash in arrears on January 15 and July 15 of each year, beginning January 15, 2022, and maturing on July 15, 2026. The 2031 Notes bear interest at a rate of 2.65% per annum payable semiannually in cash in arrears on January 15 and July 15 of each year, beginning January 15, 2022, and maturing on July 15, 2031.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2021, we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sell certain of our trade accounts receivables on a non-recourse basis to third-party financial institutions under various factoring agreements. The Company also sold certain European trade accounts receivable under a securitization program. In the first quarter of 2022, we terminated our securitization program.We account for these transactions as sales of receivables and present cash proceeds as cash provided by operating activities in the Consolidated Statements of Cash Flows. We use the sale of certain receivables to help manage our working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 March 31,</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Pr>
          <w:p>
            <w:pPr>
              <w:spacing w:after="0"/>
              <w:rPr>
                <w:sz w:val="18"/>
                <w:szCs w:val="18"/>
                <w:color w:val="auto"/>
              </w:rPr>
            </w:pPr>
          </w:p>
        </w:tc>
        <w:tc>
          <w:tcPr>
            <w:tcW w:w="1420" w:type="dxa"/>
            <w:vAlign w:val="bottom"/>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2021</w:t>
            </w:r>
          </w:p>
        </w:tc>
      </w:tr>
      <w:tr>
        <w:trPr>
          <w:trHeight w:val="212"/>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Factoring agreements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Receivables sold in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Securitization program</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sold in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Cash consideration</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428</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were in compliance with the covenants contained in our debt and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March 31, 2022 and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December 31, 2021</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Total long-term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5,172</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Total long-term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2,552</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3 %</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our total assets and total liabilities from December 31, 2021 to March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Consolidated Statements of Cash Flows,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1660" w:type="dxa"/>
            <w:vAlign w:val="bottom"/>
            <w:tcBorders>
              <w:bottom w:val="single" w:sz="8" w:color="auto"/>
            </w:tcBorders>
          </w:tcPr>
          <w:p>
            <w:pPr>
              <w:spacing w:after="0"/>
              <w:rPr>
                <w:sz w:val="18"/>
                <w:szCs w:val="18"/>
                <w:color w:val="auto"/>
              </w:rPr>
            </w:pPr>
          </w:p>
        </w:tc>
      </w:tr>
      <w:tr>
        <w:trPr>
          <w:trHeight w:val="21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3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flows from operating activities for the three months ended March 31, 2022, decreased by $1 million compared with the same period in 2021. The decrease is due to a $28 million decrease in working capital, offset by a $21 million increase in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Investing activities used $44 million of cash for the three months ended March 31, 2022, compared with $38 million used for the same period of 2021. During the three months ended March 31, 2022, we used $65 million of cash to purchase property and equipment and received $3 million of cash from sales of property and equipment. During the three months ended March 31, 2021, we used $67 million of cash to purchase property and equipment, received $20 million in connection with the purchase and sale of affiliate trade receivables and received $9 million from the Kuehne + Nagel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Financing activities used $18 million of cash for the three months ended March 31, 2022, including a $9 million use of cash to repay debt and finance leases. Financing activities generated $80 million of cash for the three months ended March 31, 2021. The primary sources of cash from financing activities in the three months ended March 31, 2021, were $138 million of net transfers from XPO, partially offset by a $25 million repayment of debt related to securitization transactions and $26 million used to repay debt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Company’s future contractual obligations had not materially changed as compared with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Preparation of our condensed consolidated financial statements in accordance with GAAP requires us to make estimates and assumptions that affect the reported amounts of certain assets, liabilities, revenues and expenses, as well as related disclosure of contingent assets and liabilities. There have been no material changes to the critical accounting policies and estimates as previously disclosed in Part II, Item 8 of our Annual Report on Form 10-K for the year ended December 31, 2021, and that are hereby incorporated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related to new accounting standards is included in Note 1—Basis of Presentation and Significant Accounting Policies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long-term debt portfolio primarily consists of fixed-rate instruments complemented by a variable-rate revolving credit facility that can be drawn on from time to time. For any variable-rate debt, interest rate changes in the underlying index rates will impact future interest expense. Currently we do not hold any derivative contracts that hedge our interest rate risk; however, we may consider entering into such contracts in the future. A 1% increase or decrease in interest rates would decrease or increase the fair value of our notes and debentures by approximately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 significant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entered into cross-currency swap agreements to manage our foreign currency exchange risk by effectively converting a portion of the fixed-rate USD-denominated notes, including the interest payments, to fixed-rate EUR-denominated debt. We use foreign currency option contracts to mitigate the risk of a reduction in the value of earnings from our operations that use the EUR or GBP as their functional currency.</w:t>
      </w:r>
    </w:p>
    <w:p>
      <w:pPr>
        <w:spacing w:after="0" w:line="19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of March 31, 2022, a uniform 10% strengthening in the value of the USD relative to the EUR would have resulted in a decrease in net assets of $26 million. As of March 31, 2022, a uniform 10% strengthening in the value of the USD relative to the GBP would have resulted in a decrease in net assets of $46 million. These theoretical calculations assume that an instantaneous, parallel shift in exchange rates occurs, which is not consistent with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5" w:name="page26"/>
    <w:bookmarkEnd w:id="25"/>
    <w:p>
      <w:pPr>
        <w:jc w:val="both"/>
        <w:ind w:right="180"/>
        <w:spacing w:after="0" w:line="263" w:lineRule="auto"/>
        <w:rPr>
          <w:sz w:val="20"/>
          <w:szCs w:val="20"/>
          <w:color w:val="auto"/>
        </w:rPr>
      </w:pPr>
      <w:r>
        <w:rPr>
          <w:rFonts w:ascii="Arial" w:cs="Arial" w:eastAsia="Arial" w:hAnsi="Arial"/>
          <w:sz w:val="18"/>
          <w:szCs w:val="18"/>
          <w:color w:val="auto"/>
        </w:rPr>
        <w:t>history of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defined in Rule 13a-15(e) and Rule 15d-15(e) under the Securities Exchange Act of 1934, as amended, as of March 31, 2022. Based on that evaluation, our CEO and CFO concluded that our disclosure controls and procedures were effective as of March 31, 2022, such that the information required to be included in our Securities and Exchange Commission (“SEC”) reports is: (i) recorded, processed, summarized and reported within the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Note 11—Commitments and Contingencies to the condensed consolidated financial statements included in this Quarterly Report on Form 10-Q for a description of our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as set forth below, as of the date of this report, there are no material changes to the risk factors previously disclosed under “Risk Factors” in the 2021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Russia’s Invasion of Ukraine.</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February 2022, Russia launched a large-scale military invasion of Ukraine. The United States and other countries and certain international organizations have imposed broad-ranging economic sanctions on Russia and certain Russian individuals, banking entities and corporations as a response, and additional sanctions may be imposed in the future. The extent and duration of the military action or future escalation of such hostilities, resulting sanctions and market disruptions and volatility are impossible to predict, but could be significant and could have a severe adverse effect on the regional and global economies.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ramifications of the hostilities and sanctions may not be limited to Russia, Ukraine and Russian and Ukrainian companies; ramifications may spill over to and negatively impact other regional and global economic markets. The potential for a wider conflict could further increase financial market volatility and could negatively affect our ability to raise additional capital when required. While we currently conduct limited business in Russia, the conflict and its effects could adversely affect our business, results of operations, cash flows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Clipper Logistics plc.</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28, 2022, the Company and the board of directors of Clipper Logistics plc (“Clipper”) reached an agreement on the terms and conditions of a recommended cash and share offer to be made by GXO for the entire issued and to be issued share capital of Clipper. It is intended that the acquisition of Clipper will be effected by means of a Court-sanctioned scheme of arrangement. On April 11, 2022, GXO announced that at a Court Meeting and General Meeting of Clipper shareholders, the requisite majority of scheme shareholders voted to approve the scheme at the Court Meeting and the requisite majority of Clipper shareholders voted to pass the special resolution in connection with the amendment of the Clipper articles of association and the implementation of the scheme at the General Meeting. The completion of the acquisition of Clipper remains subject to the satisfaction or waiver of the other conditions, including the Court sanctioning the Scheme at the Scheme Court Hearing and the receipt of regulatory approvals from relevant competition authorities in the United Kingdom and Poland. Our acquisition of Clipper may not be completed on the currently contemplated timeline or in the currently contemplated form, or at all, and may not achieve the intended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14"/>
                <w:szCs w:val="14"/>
                <w:color w:val="auto"/>
              </w:rPr>
            </w:pPr>
          </w:p>
        </w:tc>
        <w:tc>
          <w:tcPr>
            <w:tcW w:w="8760" w:type="dxa"/>
            <w:vAlign w:val="bottom"/>
            <w:gridSpan w:val="22"/>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7"/>
              </w:rPr>
              <w:t>Number</w:t>
            </w: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760" w:type="dxa"/>
            <w:vAlign w:val="bottom"/>
            <w:gridSpan w:val="2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Recommended cash and share acquisition of Clipper Logistics PLC by GXO Logistics, Inc., dated as of February 28, 2022, incorporated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by reference to Exhibit 2.1 of the Company’s Current Report on Form 8-K (Commission file no. 001-40470)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March 1, 2022.</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Cooperation Agreement between GXO Logistics, Inc. and Clipper Logistics PLC, incorporated by reference to Exhibit 2.2 of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Company’s Current Report on Form 8-K (Commission file no. 001-40470) filed with the SEC on March 1, 2022.</w:t>
              </w:r>
            </w:hyperlink>
          </w:p>
        </w:tc>
        <w:tc>
          <w:tcPr>
            <w:tcW w:w="114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Form of Deed of Irrevocable Undertaking, incorporated by reference to Exhibit 10.01 of the Company’s Current Report on Form 8-K</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(Commission file no. 001-40470) filed with the SEC on March 1, 2022.</w:t>
              </w:r>
            </w:hyperlink>
          </w:p>
        </w:tc>
        <w:tc>
          <w:tcPr>
            <w:tcW w:w="444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Bridge Term Loan Credit Agreement, dated as of February 28, 2022, by and among GXO Logistics, Inc., the lenders and other parties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from time to time party thereto, and Barclays Bank plc, as Administrative Agent, incorporated by reference to Exhibit 10.02 of the</w:t>
              </w:r>
            </w:hyperlink>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Company’s Current Report on Form 8-K (Commission file no. 001-40470) filed with the SEC on March 1, 2022.</w:t>
              </w:r>
            </w:hyperlink>
          </w:p>
        </w:tc>
        <w:tc>
          <w:tcPr>
            <w:tcW w:w="12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Term Loan Credit Agreement, dated as of March 22, 2022, by and among GXO Logistics, Inc., the lenders and other parties from time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8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to time party thereto, and Barclays Bank plc, as Administrative Agent, incorporated by reference to Exhibit 10.1 of the Company’s</w:t>
              </w:r>
            </w:hyperlink>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Current Report on Form 8-K (Commission file no. 001-40470) filed with the SEC on March 23, 2022.</w:t>
              </w:r>
            </w:hyperlink>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w w:val="91"/>
              </w:rPr>
              <w:t>10.4*+</w:t>
            </w:r>
          </w:p>
        </w:tc>
        <w:tc>
          <w:tcPr>
            <w:tcW w:w="820" w:type="dxa"/>
            <w:vAlign w:val="bottom"/>
          </w:tcPr>
          <w:p>
            <w:pPr>
              <w:spacing w:after="0"/>
              <w:rPr>
                <w:sz w:val="22"/>
                <w:szCs w:val="22"/>
                <w:color w:val="auto"/>
              </w:rPr>
            </w:pPr>
          </w:p>
        </w:tc>
        <w:tc>
          <w:tcPr>
            <w:tcW w:w="7360" w:type="dxa"/>
            <w:vAlign w:val="bottom"/>
            <w:tcBorders>
              <w:top w:val="single" w:sz="8" w:color="0000FF"/>
            </w:tcBorders>
            <w:gridSpan w:val="9"/>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Form of Restricted Stock Unit Award Agreement (2021 Omnibus Incentive Compensation Plan).</w:t>
              </w:r>
            </w:hyperlink>
          </w:p>
        </w:tc>
        <w:tc>
          <w:tcPr>
            <w:tcW w:w="25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w w:val="91"/>
              </w:rPr>
              <w:t>10.5*+</w:t>
            </w:r>
          </w:p>
        </w:tc>
        <w:tc>
          <w:tcPr>
            <w:tcW w:w="820" w:type="dxa"/>
            <w:vAlign w:val="bottom"/>
          </w:tcPr>
          <w:p>
            <w:pPr>
              <w:spacing w:after="0"/>
              <w:rPr>
                <w:sz w:val="24"/>
                <w:szCs w:val="24"/>
                <w:color w:val="auto"/>
              </w:rPr>
            </w:pPr>
          </w:p>
        </w:tc>
        <w:tc>
          <w:tcPr>
            <w:tcW w:w="71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 xml:space="preserve">Form of Performance </w:t>
              </w:r>
            </w:hyperlink>
            <w:r>
              <w:rPr>
                <w:rFonts w:ascii="Arial" w:cs="Arial" w:eastAsia="Arial" w:hAnsi="Arial"/>
                <w:sz w:val="18"/>
                <w:szCs w:val="18"/>
                <w:color w:val="0000FF"/>
                <w:w w:val="90"/>
              </w:rPr>
              <w:t xml:space="preserve">Share </w:t>
            </w:r>
            <w:hyperlink w:anchor="page55">
              <w:r>
                <w:rPr>
                  <w:rFonts w:ascii="Arial" w:cs="Arial" w:eastAsia="Arial" w:hAnsi="Arial"/>
                  <w:sz w:val="18"/>
                  <w:szCs w:val="18"/>
                  <w:color w:val="0000FF"/>
                  <w:w w:val="90"/>
                </w:rPr>
                <w:t>Unit Award Agreement (2021 Omnibus Incentive Compensation Plan).</w:t>
              </w:r>
            </w:hyperlink>
          </w:p>
        </w:tc>
        <w:tc>
          <w:tcPr>
            <w:tcW w:w="26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rPr>
              <w:t>31.1 *</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Certification of the Principal Executive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registrant’s Quarterly Report on Form 10-Q for the fiscal quarter ended March 31, 2022.</w:t>
              </w:r>
            </w:hyperlink>
          </w:p>
        </w:tc>
        <w:tc>
          <w:tcPr>
            <w:tcW w:w="27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31.2 *</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Certification of the Principal Financial Officer pursuant to Section 302 of the Sarbanes-Oxley Act of 2002, with respect to the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registrant’s Quarterly Report on Form 10-Q for the fiscal quarter ended March 31, 2022.</w:t>
              </w:r>
            </w:hyperlink>
          </w:p>
        </w:tc>
        <w:tc>
          <w:tcPr>
            <w:tcW w:w="26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auto"/>
                <w:w w:val="97"/>
              </w:rPr>
              <w:t>32.1**</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Certification of the Principal Executive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registrant’s Quarterly Report on Form 10-Q for the fiscal quarter ended March 31, 2022.</w:t>
              </w:r>
            </w:hyperlink>
          </w:p>
        </w:tc>
        <w:tc>
          <w:tcPr>
            <w:tcW w:w="2760" w:type="dxa"/>
            <w:vAlign w:val="bottom"/>
            <w:tcBorders>
              <w:top w:val="single" w:sz="8" w:color="0000FF"/>
            </w:tcBorders>
            <w:gridSpan w:val="8"/>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w w:val="97"/>
              </w:rPr>
              <w:t>32.2**</w:t>
            </w:r>
          </w:p>
        </w:tc>
        <w:tc>
          <w:tcPr>
            <w:tcW w:w="820" w:type="dxa"/>
            <w:vAlign w:val="bottom"/>
          </w:tcPr>
          <w:p>
            <w:pPr>
              <w:spacing w:after="0"/>
              <w:rPr>
                <w:sz w:val="22"/>
                <w:szCs w:val="22"/>
                <w:color w:val="auto"/>
              </w:rPr>
            </w:pPr>
          </w:p>
        </w:tc>
        <w:tc>
          <w:tcPr>
            <w:tcW w:w="9860" w:type="dxa"/>
            <w:vAlign w:val="bottom"/>
            <w:gridSpan w:val="23"/>
          </w:tcPr>
          <w:p>
            <w:pPr>
              <w:spacing w:after="0"/>
              <w:rPr>
                <w:rFonts w:ascii="Arial" w:cs="Arial" w:eastAsia="Arial" w:hAnsi="Arial"/>
                <w:sz w:val="18"/>
                <w:szCs w:val="18"/>
                <w:color w:val="0000FF"/>
                <w:w w:val="99"/>
              </w:rPr>
            </w:pPr>
            <w:hyperlink w:anchor="page84">
              <w:r>
                <w:rPr>
                  <w:rFonts w:ascii="Arial" w:cs="Arial" w:eastAsia="Arial" w:hAnsi="Arial"/>
                  <w:sz w:val="18"/>
                  <w:szCs w:val="18"/>
                  <w:color w:val="0000FF"/>
                  <w:w w:val="99"/>
                </w:rPr>
                <w:t>Certification of the Principal Financial Officer Pursuant to Section 906 of the Sarbanes-Oxley Act of 2002, with respect to the</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registrant’s Quarterly Report on Form 10-Q for the fiscal quarter ended March 31, 2022.</w:t>
              </w:r>
            </w:hyperlink>
          </w:p>
        </w:tc>
        <w:tc>
          <w:tcPr>
            <w:tcW w:w="7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63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35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98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98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4"/>
        </w:trPr>
        <w:tc>
          <w:tcPr>
            <w:tcW w:w="13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98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98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986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104 *</w:t>
            </w:r>
          </w:p>
        </w:tc>
        <w:tc>
          <w:tcPr>
            <w:tcW w:w="820" w:type="dxa"/>
            <w:vAlign w:val="bottom"/>
          </w:tcPr>
          <w:p>
            <w:pPr>
              <w:spacing w:after="0"/>
              <w:rPr>
                <w:sz w:val="24"/>
                <w:szCs w:val="24"/>
                <w:color w:val="auto"/>
              </w:rPr>
            </w:pPr>
          </w:p>
        </w:tc>
        <w:tc>
          <w:tcPr>
            <w:tcW w:w="9860" w:type="dxa"/>
            <w:vAlign w:val="bottom"/>
            <w:gridSpan w:val="2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60" w:hanging="133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360" w:hanging="133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ind w:left="1360" w:hanging="133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is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8" w:name="page29"/>
    <w:bookmarkEnd w:id="28"/>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GXO Logistics, Inc.</w:t>
      </w:r>
    </w:p>
    <w:p>
      <w:pPr>
        <w:spacing w:after="0" w:line="297"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Baris Oran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80"/>
          </w:cols>
          <w:pgMar w:left="320" w:top="1417" w:right="129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RESTRICTED STOCK UNIT AWARD AGREEMENT UNDER THE</w:t>
      </w:r>
    </w:p>
    <w:p>
      <w:pPr>
        <w:jc w:val="center"/>
        <w:spacing w:after="0"/>
        <w:rPr>
          <w:sz w:val="20"/>
          <w:szCs w:val="20"/>
          <w:color w:val="auto"/>
        </w:rPr>
      </w:pPr>
      <w:r>
        <w:rPr>
          <w:rFonts w:ascii="Arial" w:cs="Arial" w:eastAsia="Arial" w:hAnsi="Arial"/>
          <w:sz w:val="22"/>
          <w:szCs w:val="22"/>
          <w:b w:val="1"/>
          <w:bCs w:val="1"/>
          <w:color w:val="auto"/>
        </w:rPr>
        <w:t>GXO LOGISTICS, INC. 2021 OMNIBUS INCENTIVE COMPENSATION PLAN</w:t>
      </w:r>
    </w:p>
    <w:p>
      <w:pPr>
        <w:spacing w:after="0" w:line="200" w:lineRule="exact"/>
        <w:rPr>
          <w:sz w:val="20"/>
          <w:szCs w:val="20"/>
          <w:color w:val="auto"/>
        </w:rPr>
      </w:pPr>
    </w:p>
    <w:p>
      <w:pPr>
        <w:spacing w:after="0" w:line="23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This Restricted Stock Unit Agreement (this “</w:t>
      </w:r>
      <w:r>
        <w:rPr>
          <w:rFonts w:ascii="Arial" w:cs="Arial" w:eastAsia="Arial" w:hAnsi="Arial"/>
          <w:sz w:val="22"/>
          <w:szCs w:val="22"/>
          <w:u w:val="single" w:color="auto"/>
          <w:color w:val="auto"/>
        </w:rPr>
        <w:t>Award Agreement</w:t>
      </w:r>
      <w:r>
        <w:rPr>
          <w:rFonts w:ascii="Arial" w:cs="Arial" w:eastAsia="Arial" w:hAnsi="Arial"/>
          <w:sz w:val="22"/>
          <w:szCs w:val="22"/>
          <w:color w:val="auto"/>
        </w:rPr>
        <w:t>”), dated as of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GXO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[NAME] sets forth the terms and conditions of an award of [NUMBER</w:t>
      </w:r>
      <w:r>
        <w:rPr>
          <w:rFonts w:ascii="Arial" w:cs="Arial" w:eastAsia="Arial" w:hAnsi="Arial"/>
          <w:sz w:val="22"/>
          <w:szCs w:val="22"/>
          <w:u w:val="single" w:color="auto"/>
          <w:color w:val="auto"/>
        </w:rPr>
        <w:t>]</w:t>
      </w:r>
      <w:r>
        <w:rPr>
          <w:rFonts w:ascii="Arial" w:cs="Arial" w:eastAsia="Arial" w:hAnsi="Arial"/>
          <w:sz w:val="22"/>
          <w:szCs w:val="22"/>
          <w:color w:val="auto"/>
        </w:rPr>
        <w:t xml:space="preserve"> restricted stock units (this “</w:t>
      </w:r>
      <w:r>
        <w:rPr>
          <w:rFonts w:ascii="Arial" w:cs="Arial" w:eastAsia="Arial" w:hAnsi="Arial"/>
          <w:sz w:val="22"/>
          <w:szCs w:val="22"/>
          <w:u w:val="single" w:color="auto"/>
          <w:color w:val="auto"/>
        </w:rPr>
        <w:t>Award</w:t>
      </w:r>
      <w:r>
        <w:rPr>
          <w:rFonts w:ascii="Arial" w:cs="Arial" w:eastAsia="Arial" w:hAnsi="Arial"/>
          <w:sz w:val="22"/>
          <w:szCs w:val="22"/>
          <w:color w:val="auto"/>
        </w:rPr>
        <w:t>”) that are subject to the terms and conditions specified herein (each such restricted stock unit, an “</w:t>
      </w:r>
      <w:r>
        <w:rPr>
          <w:rFonts w:ascii="Arial" w:cs="Arial" w:eastAsia="Arial" w:hAnsi="Arial"/>
          <w:sz w:val="22"/>
          <w:szCs w:val="22"/>
          <w:u w:val="single" w:color="auto"/>
          <w:color w:val="auto"/>
        </w:rPr>
        <w:t>RSU</w:t>
      </w:r>
      <w:r>
        <w:rPr>
          <w:rFonts w:ascii="Arial" w:cs="Arial" w:eastAsia="Arial" w:hAnsi="Arial"/>
          <w:sz w:val="22"/>
          <w:szCs w:val="22"/>
          <w:color w:val="auto"/>
        </w:rPr>
        <w:t>”) and that are granted to you under the GXO Logistics, Inc. 2021 Omnibus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Award provides you with the opportunity to earn, subject to the terms of this Award Agreement, shares of the Company’s Common Stock, $0.01 par value (each, a “</w:t>
      </w:r>
      <w:r>
        <w:rPr>
          <w:rFonts w:ascii="Arial" w:cs="Arial" w:eastAsia="Arial" w:hAnsi="Arial"/>
          <w:sz w:val="22"/>
          <w:szCs w:val="22"/>
          <w:u w:val="single" w:color="auto"/>
          <w:color w:val="auto"/>
        </w:rPr>
        <w:t>Share</w:t>
      </w:r>
      <w:r>
        <w:rPr>
          <w:rFonts w:ascii="Arial" w:cs="Arial" w:eastAsia="Arial" w:hAnsi="Arial"/>
          <w:sz w:val="22"/>
          <w:szCs w:val="22"/>
          <w:color w:val="auto"/>
        </w:rPr>
        <w:t>”), or cash, as set forth in Section 3 of this Award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u w:val="single" w:color="auto"/>
          <w:color w:val="auto"/>
        </w:rPr>
        <w:t>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made pursuant to the Plan and, to the extent applicable, the GXO Logistics, Inc. (“GXO”)</w:t>
      </w:r>
      <w:r>
        <w:rPr>
          <w:rFonts w:ascii="Arial" w:cs="Arial" w:eastAsia="Arial" w:hAnsi="Arial"/>
          <w:sz w:val="19"/>
          <w:szCs w:val="19"/>
          <w:b w:val="1"/>
          <w:bCs w:val="1"/>
          <w:color w:val="auto"/>
        </w:rPr>
        <w:t xml:space="preserve"> </w:t>
      </w:r>
      <w:r>
        <w:rPr>
          <w:rFonts w:ascii="Arial" w:cs="Arial" w:eastAsia="Arial" w:hAnsi="Arial"/>
          <w:sz w:val="19"/>
          <w:szCs w:val="19"/>
          <w:color w:val="auto"/>
        </w:rPr>
        <w:t>Global Appendix (“Global Appendix”), all the terms of which are hereby incorporated in this Award Agreement, including the provisions of Section 6(e) of the Plan. In the event of any conflict between the terms of the Plan on the one hand and the terms of this Award Agreement or the Global Appendix on the other, the terms of the Plan shall govern. By accepting this Award, you shall have confirmed your acceptance to the terms and conditions of this Award Agreement and the Global Appendix.</w:t>
      </w:r>
    </w:p>
    <w:p>
      <w:pPr>
        <w:spacing w:after="0" w:line="167"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in this Award Agreement that are not defined in this Award Agreement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meanings as used or defined in the Plan. As used in this Award Agreement, the following terms have the meanings set forth below:</w:t>
      </w:r>
    </w:p>
    <w:p>
      <w:pPr>
        <w:spacing w:after="0" w:line="186" w:lineRule="exact"/>
        <w:rPr>
          <w:sz w:val="20"/>
          <w:szCs w:val="20"/>
          <w:color w:val="auto"/>
        </w:rPr>
      </w:pPr>
    </w:p>
    <w:p>
      <w:pPr>
        <w:jc w:val="both"/>
        <w:ind w:firstLine="21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officer to whom you report; (ii) abuse of or dependency on alcohol or drugs (illicit or otherwise) that adversely affects your performance of duties for the Company or any Subsidiary; (iii) commission of any fraud, embezzlement, theft or dishonesty, or any deliberate misappropriation of money or other assets of the Company or any Subsidiary; (iv) breach of any term of any Employment Agreement or any Confidential Information Protection Agreement to which you may be party or any agreement governing long-term incentive compensation or equity compensation to which you may be party or breach of your fiduciary duties to the Company or any Subsidiary; (v) failure to provide the Company or any Subsidiary with at least 30 days’ advanced written notice of your intention to resign; (vi) any willful act, or failure to act, in bad faith to the detriment of the Company or any Subsidiary; (vii) willful failure to cooperate in good faith with a governmental or internal investigation of the Company or any Subsidiary or any of their directors, managers, officers or employees, if the Company or any Subsidiary requests your cooperation; (viii) failure to follow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ectPr>
          <w:pgSz w:w="11900" w:h="16838" w:orient="portrait"/>
          <w:cols w:equalWidth="0" w:num="1">
            <w:col w:w="11240"/>
          </w:cols>
          <w:pgMar w:left="320" w:top="1382" w:right="339" w:bottom="1440" w:gutter="0" w:footer="0" w:header="0"/>
        </w:sectPr>
      </w:pPr>
    </w:p>
    <w:bookmarkStart w:id="30" w:name="page31"/>
    <w:bookmarkEnd w:id="30"/>
    <w:p>
      <w:pPr>
        <w:spacing w:after="0" w:line="204" w:lineRule="exact"/>
        <w:rPr>
          <w:sz w:val="20"/>
          <w:szCs w:val="20"/>
          <w:color w:val="auto"/>
        </w:rPr>
      </w:pPr>
    </w:p>
    <w:p>
      <w:pPr>
        <w:jc w:val="both"/>
        <w:ind w:right="20" w:firstLine="25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Confidential Information Protection Agreement</w:t>
      </w:r>
      <w:r>
        <w:rPr>
          <w:rFonts w:ascii="Arial" w:cs="Arial" w:eastAsia="Arial" w:hAnsi="Arial"/>
          <w:sz w:val="22"/>
          <w:szCs w:val="22"/>
          <w:color w:val="auto"/>
        </w:rPr>
        <w:t>” means any individual Employment Agreement or other agreement between you and the Company or any Subsidiary that has any non-competition, non-solicitation, non-disparagement, non-disclosure, intellectual property assignment or confidentiality provisions.</w:t>
      </w:r>
    </w:p>
    <w:p>
      <w:pPr>
        <w:spacing w:after="0" w:line="186"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Employment Agreement</w:t>
      </w:r>
      <w:r>
        <w:rPr>
          <w:rFonts w:ascii="Arial" w:cs="Arial" w:eastAsia="Arial" w:hAnsi="Arial"/>
          <w:sz w:val="22"/>
          <w:szCs w:val="22"/>
          <w:color w:val="auto"/>
        </w:rPr>
        <w:t>” means any individual offer letter or employment agreement between you and the Company or any Subsidiary.</w:t>
      </w:r>
    </w:p>
    <w:p>
      <w:pPr>
        <w:spacing w:after="0" w:line="186" w:lineRule="exact"/>
        <w:rPr>
          <w:sz w:val="20"/>
          <w:szCs w:val="20"/>
          <w:color w:val="auto"/>
        </w:rPr>
      </w:pPr>
    </w:p>
    <w:p>
      <w:pPr>
        <w:jc w:val="both"/>
        <w:ind w:firstLine="25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Good Reason</w:t>
      </w:r>
      <w:r>
        <w:rPr>
          <w:rFonts w:ascii="Arial" w:cs="Arial" w:eastAsia="Arial" w:hAnsi="Arial"/>
          <w:sz w:val="19"/>
          <w:szCs w:val="19"/>
          <w:color w:val="auto"/>
        </w:rPr>
        <w:t>” means, without first obtaining your written consent: (i) a material reduction of your annual base salary from that in effect immediately prior to the Change of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of Control (or, if higher, that in effect at any time thereafter); or</w:t>
      </w:r>
    </w:p>
    <w:p>
      <w:pPr>
        <w:spacing w:after="0" w:line="1" w:lineRule="exact"/>
        <w:rPr>
          <w:sz w:val="20"/>
          <w:szCs w:val="20"/>
          <w:color w:val="auto"/>
        </w:rPr>
      </w:pPr>
    </w:p>
    <w:p>
      <w:pPr>
        <w:jc w:val="both"/>
        <w:ind w:firstLine="8"/>
        <w:spacing w:after="0" w:line="242" w:lineRule="auto"/>
        <w:tabs>
          <w:tab w:leader="none" w:pos="414"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material, adverse change in your title, reporting relationship, authority, duties, or responsibilities from those in effect immediately prior to the Change of Control; provided that, the Company shall first be provided a 30-day cure period (the “</w:t>
      </w:r>
      <w:r>
        <w:rPr>
          <w:rFonts w:ascii="Arial" w:cs="Arial" w:eastAsia="Arial" w:hAnsi="Arial"/>
          <w:sz w:val="19"/>
          <w:szCs w:val="19"/>
          <w:u w:val="single" w:color="auto"/>
          <w:color w:val="auto"/>
        </w:rPr>
        <w:t>Cure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 30-day period that follows the end of the Cure Period. If you do not terminate employment during such 30-day period, you will not be permitted to terminate employment for Good Reason as a result of such event, circumstance or conduct.</w:t>
      </w:r>
    </w:p>
    <w:p>
      <w:pPr>
        <w:spacing w:after="0" w:line="18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Prior Vesting Date</w:t>
      </w:r>
      <w:r>
        <w:rPr>
          <w:rFonts w:ascii="Arial" w:cs="Arial" w:eastAsia="Arial" w:hAnsi="Arial"/>
          <w:sz w:val="19"/>
          <w:szCs w:val="19"/>
          <w:color w:val="auto"/>
        </w:rPr>
        <w:t>” means the Vesting Date immediately prior to the date your employment is terminated, or if there is no Vesting Date immediately prior to the date your employment is terminated, “Prior Vesting Date” means the Grant Date.</w:t>
      </w:r>
    </w:p>
    <w:p>
      <w:pPr>
        <w:spacing w:after="0" w:line="132" w:lineRule="exact"/>
        <w:rPr>
          <w:sz w:val="20"/>
          <w:szCs w:val="20"/>
          <w:color w:val="auto"/>
        </w:rPr>
      </w:pPr>
    </w:p>
    <w:p>
      <w:pPr>
        <w:jc w:val="both"/>
        <w:ind w:firstLine="283"/>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Pro Rata Percentage</w:t>
      </w:r>
      <w:r>
        <w:rPr>
          <w:rFonts w:ascii="Arial" w:cs="Arial" w:eastAsia="Arial" w:hAnsi="Arial"/>
          <w:sz w:val="22"/>
          <w:szCs w:val="22"/>
          <w:color w:val="auto"/>
        </w:rPr>
        <w:t>” means the percentage calculated by dividing (i) the number of days between the Prior Vesting Date through the date your employment is terminated by (ii) the number of days from the Prior Vesting Date through the Vesting Date immediately following the date of termination.</w:t>
      </w:r>
    </w:p>
    <w:p>
      <w:pPr>
        <w:spacing w:after="0" w:line="186" w:lineRule="exact"/>
        <w:rPr>
          <w:sz w:val="20"/>
          <w:szCs w:val="20"/>
          <w:color w:val="auto"/>
        </w:rPr>
      </w:pPr>
    </w:p>
    <w:p>
      <w:pPr>
        <w:jc w:val="both"/>
        <w:ind w:firstLine="243"/>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Settlement Date</w:t>
      </w:r>
      <w:r>
        <w:rPr>
          <w:rFonts w:ascii="Arial" w:cs="Arial" w:eastAsia="Arial" w:hAnsi="Arial"/>
          <w:sz w:val="22"/>
          <w:szCs w:val="22"/>
          <w:color w:val="auto"/>
        </w:rPr>
        <w:t>” means as soon as administratively practicable following the vesting of any Restricted Stock Units pursuant to Section 3 but in no event later than seventy-five (75) days after such applicable Vesting Date (for the avoidance of doubt, this deadline is intended to comply with the “short-term deferral” exemption from Section 409A of the Code for Holders subject thereto).</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Vesting Date</w:t>
      </w:r>
      <w:r>
        <w:rPr>
          <w:rFonts w:ascii="Arial" w:cs="Arial" w:eastAsia="Arial" w:hAnsi="Arial"/>
          <w:sz w:val="19"/>
          <w:szCs w:val="19"/>
          <w:color w:val="auto"/>
        </w:rPr>
        <w:t>” means the dates on which the service requirements are met as forth in Section 3(a) of this Award Agreement.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u w:val="single" w:color="auto"/>
          <w:color w:val="auto"/>
        </w:rPr>
        <w:t>Vesting Schedule and Settlement</w:t>
      </w:r>
      <w:r>
        <w:rPr>
          <w:rFonts w:ascii="Arial" w:cs="Arial" w:eastAsia="Arial" w:hAnsi="Arial"/>
          <w:sz w:val="22"/>
          <w:szCs w:val="22"/>
          <w:color w:val="auto"/>
        </w:rPr>
        <w:t>.</w:t>
      </w:r>
    </w:p>
    <w:p>
      <w:pPr>
        <w:spacing w:after="0" w:line="212" w:lineRule="exact"/>
        <w:rPr>
          <w:sz w:val="20"/>
          <w:szCs w:val="20"/>
          <w:color w:val="auto"/>
        </w:rPr>
      </w:pPr>
    </w:p>
    <w:p>
      <w:pPr>
        <w:jc w:val="both"/>
        <w:ind w:right="20" w:firstLine="656"/>
        <w:spacing w:after="0" w:line="223" w:lineRule="auto"/>
        <w:tabs>
          <w:tab w:leader="none" w:pos="12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otherwise provided in this Award Agreement, you will vest in the number of RSUs that corresponds to such Vesting Date, as specified in the table below, subject to your continued employment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60" w:type="dxa"/>
            <w:vAlign w:val="bottom"/>
            <w:tcBorders>
              <w:top w:val="single" w:sz="8" w:color="auto"/>
              <w:left w:val="single" w:sz="8" w:color="auto"/>
            </w:tcBorders>
          </w:tcPr>
          <w:p>
            <w:pPr>
              <w:spacing w:after="0"/>
              <w:rPr>
                <w:sz w:val="19"/>
                <w:szCs w:val="19"/>
                <w:color w:val="auto"/>
              </w:rPr>
            </w:pPr>
          </w:p>
        </w:tc>
        <w:tc>
          <w:tcPr>
            <w:tcW w:w="3380" w:type="dxa"/>
            <w:vAlign w:val="bottom"/>
            <w:tcBorders>
              <w:top w:val="single" w:sz="8" w:color="auto"/>
              <w:right w:val="single" w:sz="8" w:color="auto"/>
            </w:tcBorders>
            <w:gridSpan w:val="2"/>
          </w:tcPr>
          <w:p>
            <w:pPr>
              <w:jc w:val="center"/>
              <w:ind w:right="2260"/>
              <w:spacing w:after="0" w:line="229" w:lineRule="exact"/>
              <w:rPr>
                <w:sz w:val="20"/>
                <w:szCs w:val="20"/>
                <w:color w:val="auto"/>
              </w:rPr>
            </w:pPr>
            <w:r>
              <w:rPr>
                <w:rFonts w:ascii="Arial" w:cs="Arial" w:eastAsia="Arial" w:hAnsi="Arial"/>
                <w:sz w:val="22"/>
                <w:szCs w:val="22"/>
                <w:color w:val="auto"/>
                <w:w w:val="88"/>
              </w:rPr>
              <w:t>Vesting Date</w:t>
            </w:r>
          </w:p>
        </w:tc>
        <w:tc>
          <w:tcPr>
            <w:tcW w:w="5620" w:type="dxa"/>
            <w:vAlign w:val="bottom"/>
            <w:tcBorders>
              <w:top w:val="single" w:sz="8" w:color="auto"/>
              <w:right w:val="single" w:sz="8" w:color="auto"/>
            </w:tcBorders>
            <w:gridSpan w:val="3"/>
          </w:tcPr>
          <w:p>
            <w:pPr>
              <w:jc w:val="center"/>
              <w:ind w:right="20"/>
              <w:spacing w:after="0" w:line="229" w:lineRule="exact"/>
              <w:rPr>
                <w:sz w:val="20"/>
                <w:szCs w:val="20"/>
                <w:color w:val="auto"/>
              </w:rPr>
            </w:pPr>
            <w:r>
              <w:rPr>
                <w:rFonts w:ascii="Arial" w:cs="Arial" w:eastAsia="Arial" w:hAnsi="Arial"/>
                <w:sz w:val="22"/>
                <w:szCs w:val="22"/>
                <w:color w:val="auto"/>
                <w:w w:val="91"/>
              </w:rPr>
              <w:t>Quantity of RSUs</w:t>
            </w:r>
          </w:p>
        </w:tc>
      </w:tr>
      <w:tr>
        <w:trPr>
          <w:trHeight w:val="34"/>
        </w:trPr>
        <w:tc>
          <w:tcPr>
            <w:tcW w:w="2260" w:type="dxa"/>
            <w:vAlign w:val="bottom"/>
            <w:tcBorders>
              <w:left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3"/>
              </w:rPr>
              <w:t>March [ ], 202X</w:t>
            </w:r>
          </w:p>
        </w:tc>
        <w:tc>
          <w:tcPr>
            <w:tcW w:w="3580" w:type="dxa"/>
            <w:vAlign w:val="bottom"/>
            <w:tcBorders>
              <w:bottom w:val="single" w:sz="8" w:color="auto"/>
            </w:tcBorders>
            <w:gridSpan w:val="2"/>
          </w:tcPr>
          <w:p>
            <w:pPr>
              <w:jc w:val="center"/>
              <w:ind w:left="1892"/>
              <w:spacing w:after="0"/>
              <w:rPr>
                <w:sz w:val="20"/>
                <w:szCs w:val="20"/>
                <w:color w:val="auto"/>
              </w:rPr>
            </w:pPr>
            <w:r>
              <w:rPr>
                <w:rFonts w:ascii="Arial" w:cs="Arial" w:eastAsia="Arial" w:hAnsi="Arial"/>
                <w:sz w:val="22"/>
                <w:szCs w:val="22"/>
                <w:color w:val="auto"/>
              </w:rPr>
              <w:t>[ ]%</w:t>
            </w:r>
          </w:p>
        </w:tc>
        <w:tc>
          <w:tcPr>
            <w:tcW w:w="2040" w:type="dxa"/>
            <w:vAlign w:val="bottom"/>
            <w:tcBorders>
              <w:bottom w:val="single" w:sz="8" w:color="auto"/>
              <w:right w:val="single" w:sz="8" w:color="auto"/>
            </w:tcBorders>
          </w:tcPr>
          <w:p>
            <w:pPr>
              <w:spacing w:after="0"/>
              <w:rPr>
                <w:sz w:val="22"/>
                <w:szCs w:val="22"/>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3"/>
              </w:rPr>
              <w:t>March [ ], 202X</w:t>
            </w:r>
          </w:p>
        </w:tc>
        <w:tc>
          <w:tcPr>
            <w:tcW w:w="3580" w:type="dxa"/>
            <w:vAlign w:val="bottom"/>
            <w:tcBorders>
              <w:bottom w:val="single" w:sz="8" w:color="auto"/>
            </w:tcBorders>
            <w:gridSpan w:val="2"/>
          </w:tcPr>
          <w:p>
            <w:pPr>
              <w:jc w:val="center"/>
              <w:ind w:left="1892"/>
              <w:spacing w:after="0"/>
              <w:rPr>
                <w:sz w:val="20"/>
                <w:szCs w:val="20"/>
                <w:color w:val="auto"/>
              </w:rPr>
            </w:pPr>
            <w:r>
              <w:rPr>
                <w:rFonts w:ascii="Arial" w:cs="Arial" w:eastAsia="Arial" w:hAnsi="Arial"/>
                <w:sz w:val="22"/>
                <w:szCs w:val="22"/>
                <w:color w:val="auto"/>
              </w:rPr>
              <w:t>[ ]%</w:t>
            </w:r>
          </w:p>
        </w:tc>
        <w:tc>
          <w:tcPr>
            <w:tcW w:w="2040" w:type="dxa"/>
            <w:vAlign w:val="bottom"/>
            <w:tcBorders>
              <w:bottom w:val="single" w:sz="8" w:color="auto"/>
              <w:right w:val="single" w:sz="8" w:color="auto"/>
            </w:tcBorders>
          </w:tcPr>
          <w:p>
            <w:pPr>
              <w:spacing w:after="0"/>
              <w:rPr>
                <w:sz w:val="22"/>
                <w:szCs w:val="22"/>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3"/>
              </w:rPr>
              <w:t>March [ ], 202X</w:t>
            </w:r>
          </w:p>
        </w:tc>
        <w:tc>
          <w:tcPr>
            <w:tcW w:w="3580" w:type="dxa"/>
            <w:vAlign w:val="bottom"/>
            <w:tcBorders>
              <w:bottom w:val="single" w:sz="8" w:color="auto"/>
            </w:tcBorders>
            <w:gridSpan w:val="2"/>
          </w:tcPr>
          <w:p>
            <w:pPr>
              <w:jc w:val="center"/>
              <w:ind w:left="1892"/>
              <w:spacing w:after="0"/>
              <w:rPr>
                <w:sz w:val="20"/>
                <w:szCs w:val="20"/>
                <w:color w:val="auto"/>
              </w:rPr>
            </w:pPr>
            <w:r>
              <w:rPr>
                <w:rFonts w:ascii="Arial" w:cs="Arial" w:eastAsia="Arial" w:hAnsi="Arial"/>
                <w:sz w:val="22"/>
                <w:szCs w:val="22"/>
                <w:color w:val="auto"/>
              </w:rPr>
              <w:t>[ ]%</w:t>
            </w:r>
          </w:p>
        </w:tc>
        <w:tc>
          <w:tcPr>
            <w:tcW w:w="20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right="20" w:firstLine="656"/>
        <w:spacing w:after="0" w:line="252" w:lineRule="auto"/>
        <w:tabs>
          <w:tab w:leader="none" w:pos="123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Your employment with the Company and its Affiliates shall be deemed to terminate as of the date you are no longer actively providing services to the Company or any of its Affiliates (regardless of the reason for the termination and whether or not later found to be invalid or in breach of applicable laws or the terms of your employment or other service agreement, if any) and shall not, subject to applicable laws, be extended by any required notice period (e.g., garden leave). Notwithstanding anything to the contrary in this Award Agreement or the Plan:</w:t>
      </w:r>
    </w:p>
    <w:p>
      <w:pPr>
        <w:spacing w:after="0" w:line="175" w:lineRule="exact"/>
        <w:rPr>
          <w:rFonts w:ascii="Arial" w:cs="Arial" w:eastAsia="Arial" w:hAnsi="Arial"/>
          <w:sz w:val="19"/>
          <w:szCs w:val="19"/>
          <w:color w:val="auto"/>
        </w:rPr>
      </w:pPr>
    </w:p>
    <w:p>
      <w:pPr>
        <w:ind w:right="20" w:firstLine="1304"/>
        <w:spacing w:after="0" w:line="232" w:lineRule="auto"/>
        <w:tabs>
          <w:tab w:leader="none" w:pos="1878" w:val="left"/>
        </w:tabs>
        <w:numPr>
          <w:ilvl w:val="1"/>
          <w:numId w:val="13"/>
        </w:numPr>
        <w:rPr>
          <w:rFonts w:ascii="Arial" w:cs="Arial" w:eastAsia="Arial" w:hAnsi="Arial"/>
          <w:sz w:val="22"/>
          <w:szCs w:val="22"/>
          <w:color w:val="auto"/>
        </w:rPr>
      </w:pPr>
      <w:r>
        <w:rPr>
          <w:rFonts w:ascii="Arial" w:cs="Arial" w:eastAsia="Arial" w:hAnsi="Arial"/>
          <w:sz w:val="22"/>
          <w:szCs w:val="22"/>
          <w:color w:val="auto"/>
        </w:rPr>
        <w:t>if your employment terminates by reason of your death, all outstanding RSUs shall be deemed earned and shall vest in full immediately;</w:t>
      </w:r>
    </w:p>
    <w:p>
      <w:pPr>
        <w:spacing w:after="0" w:line="185" w:lineRule="exact"/>
        <w:rPr>
          <w:rFonts w:ascii="Arial" w:cs="Arial" w:eastAsia="Arial" w:hAnsi="Arial"/>
          <w:sz w:val="22"/>
          <w:szCs w:val="22"/>
          <w:color w:val="auto"/>
        </w:rPr>
      </w:pPr>
    </w:p>
    <w:p>
      <w:pPr>
        <w:ind w:right="40" w:firstLine="1304"/>
        <w:spacing w:after="0" w:line="232" w:lineRule="auto"/>
        <w:tabs>
          <w:tab w:leader="none" w:pos="1897" w:val="left"/>
        </w:tabs>
        <w:numPr>
          <w:ilvl w:val="1"/>
          <w:numId w:val="13"/>
        </w:numPr>
        <w:rPr>
          <w:rFonts w:ascii="Arial" w:cs="Arial" w:eastAsia="Arial" w:hAnsi="Arial"/>
          <w:sz w:val="22"/>
          <w:szCs w:val="22"/>
          <w:color w:val="auto"/>
        </w:rPr>
      </w:pPr>
      <w:r>
        <w:rPr>
          <w:rFonts w:ascii="Arial" w:cs="Arial" w:eastAsia="Arial" w:hAnsi="Arial"/>
          <w:sz w:val="22"/>
          <w:szCs w:val="22"/>
          <w:color w:val="auto"/>
        </w:rPr>
        <w:t>if your employment is terminated by the Company or any Subsidiary for Cause or if you resign for any reason, all unvested RSUs shall be immediately forfeited;</w:t>
      </w:r>
    </w:p>
    <w:p>
      <w:pPr>
        <w:spacing w:after="0" w:line="185" w:lineRule="exact"/>
        <w:rPr>
          <w:rFonts w:ascii="Arial" w:cs="Arial" w:eastAsia="Arial" w:hAnsi="Arial"/>
          <w:sz w:val="22"/>
          <w:szCs w:val="22"/>
          <w:color w:val="auto"/>
        </w:rPr>
      </w:pPr>
    </w:p>
    <w:p>
      <w:pPr>
        <w:jc w:val="both"/>
        <w:ind w:right="20" w:firstLine="1304"/>
        <w:spacing w:after="0" w:line="218" w:lineRule="auto"/>
        <w:tabs>
          <w:tab w:leader="none" w:pos="1917" w:val="left"/>
        </w:tabs>
        <w:numPr>
          <w:ilvl w:val="1"/>
          <w:numId w:val="13"/>
        </w:numPr>
        <w:rPr>
          <w:rFonts w:ascii="Arial" w:cs="Arial" w:eastAsia="Arial" w:hAnsi="Arial"/>
          <w:sz w:val="22"/>
          <w:szCs w:val="22"/>
          <w:color w:val="auto"/>
        </w:rPr>
      </w:pPr>
      <w:r>
        <w:rPr>
          <w:rFonts w:ascii="Arial" w:cs="Arial" w:eastAsia="Arial" w:hAnsi="Arial"/>
          <w:sz w:val="22"/>
          <w:szCs w:val="22"/>
          <w:color w:val="auto"/>
        </w:rPr>
        <w:t>subject to the Release Requirement in Section 3(c), if your employment terminates for any reason not described in clauses (i), (ii) or (iv) of this Section 3(b), (A) you shall be eligible to vest in the number of RSUs that would vest on the Vesting Date immediately following the date of your termination multiplied by the Pro Rata Percentage; and (B) the remainder of the RSUs shall be forfeited; or</w:t>
      </w:r>
    </w:p>
    <w:p>
      <w:pPr>
        <w:spacing w:after="0" w:line="187" w:lineRule="exact"/>
        <w:rPr>
          <w:rFonts w:ascii="Arial" w:cs="Arial" w:eastAsia="Arial" w:hAnsi="Arial"/>
          <w:sz w:val="22"/>
          <w:szCs w:val="22"/>
          <w:color w:val="auto"/>
        </w:rPr>
      </w:pPr>
    </w:p>
    <w:p>
      <w:pPr>
        <w:ind w:right="20" w:firstLine="1304"/>
        <w:spacing w:after="0" w:line="232" w:lineRule="auto"/>
        <w:tabs>
          <w:tab w:leader="none" w:pos="1878" w:val="left"/>
        </w:tabs>
        <w:numPr>
          <w:ilvl w:val="1"/>
          <w:numId w:val="13"/>
        </w:numPr>
        <w:rPr>
          <w:rFonts w:ascii="Arial" w:cs="Arial" w:eastAsia="Arial" w:hAnsi="Arial"/>
          <w:sz w:val="22"/>
          <w:szCs w:val="22"/>
          <w:color w:val="auto"/>
        </w:rPr>
      </w:pPr>
      <w:r>
        <w:rPr>
          <w:rFonts w:ascii="Arial" w:cs="Arial" w:eastAsia="Arial" w:hAnsi="Arial"/>
          <w:sz w:val="22"/>
          <w:szCs w:val="22"/>
          <w:color w:val="auto"/>
        </w:rPr>
        <w:t>in the event that your employment is terminated by the Company without Cause or by you for Good Reason at any time following a Change of Control, all outstanding RSUs shall vest in full immediately.</w:t>
      </w:r>
    </w:p>
    <w:p>
      <w:pPr>
        <w:spacing w:after="0" w:line="185" w:lineRule="exact"/>
        <w:rPr>
          <w:rFonts w:ascii="Arial" w:cs="Arial" w:eastAsia="Arial" w:hAnsi="Arial"/>
          <w:sz w:val="22"/>
          <w:szCs w:val="22"/>
          <w:color w:val="auto"/>
        </w:rPr>
      </w:pPr>
    </w:p>
    <w:p>
      <w:pPr>
        <w:jc w:val="both"/>
        <w:ind w:right="20" w:firstLine="656"/>
        <w:spacing w:after="0" w:line="246" w:lineRule="auto"/>
        <w:tabs>
          <w:tab w:leader="none" w:pos="125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Release Requirement.</w:t>
      </w:r>
      <w:r>
        <w:rPr>
          <w:rFonts w:ascii="Arial" w:cs="Arial" w:eastAsia="Arial" w:hAnsi="Arial"/>
          <w:sz w:val="19"/>
          <w:szCs w:val="19"/>
          <w:color w:val="auto"/>
        </w:rPr>
        <w:t xml:space="preserve"> To the extent permissible under applicable law, the Company may, at the Company’s sole discretion, condition the vesting treatment set forth in Section 3(b)(iii) upon your (or your estate’s) timely execution, delivery and non-revocation of a general release of claims against the Company and each Subsidiary and Affiliate of the Company in a form to be provided by the Company (the “</w:t>
      </w:r>
      <w:r>
        <w:rPr>
          <w:rFonts w:ascii="Arial" w:cs="Arial" w:eastAsia="Arial" w:hAnsi="Arial"/>
          <w:sz w:val="19"/>
          <w:szCs w:val="19"/>
          <w:u w:val="single" w:color="auto"/>
          <w:color w:val="auto"/>
        </w:rPr>
        <w:t>Release</w:t>
      </w:r>
      <w:r>
        <w:rPr>
          <w:rFonts w:ascii="Arial" w:cs="Arial" w:eastAsia="Arial" w:hAnsi="Arial"/>
          <w:sz w:val="19"/>
          <w:szCs w:val="19"/>
          <w:color w:val="auto"/>
        </w:rPr>
        <w:t>”) and your continued compliance with any Confidential Information Protection Agreement (the “</w:t>
      </w:r>
      <w:r>
        <w:rPr>
          <w:rFonts w:ascii="Arial" w:cs="Arial" w:eastAsia="Arial" w:hAnsi="Arial"/>
          <w:sz w:val="19"/>
          <w:szCs w:val="19"/>
          <w:u w:val="single" w:color="auto"/>
          <w:color w:val="auto"/>
        </w:rPr>
        <w:t>Release Requirement</w:t>
      </w:r>
      <w:r>
        <w:rPr>
          <w:rFonts w:ascii="Arial" w:cs="Arial" w:eastAsia="Arial" w:hAnsi="Arial"/>
          <w:sz w:val="19"/>
          <w:szCs w:val="19"/>
          <w:color w:val="auto"/>
        </w:rPr>
        <w:t>”). If you are a taxpayer in the United States, to the extent the Release Requirement is applicable, the Release shall be delivered to you (or your estate’s) within fourteen (14) business days following the termination date, and you shall have seven (7) days thereafter (or up to 45 days, if necessary to comply with applicable law) to execute and deliver the Release to the Company (the “</w:t>
      </w:r>
      <w:r>
        <w:rPr>
          <w:rFonts w:ascii="Arial" w:cs="Arial" w:eastAsia="Arial" w:hAnsi="Arial"/>
          <w:sz w:val="19"/>
          <w:szCs w:val="19"/>
          <w:u w:val="single" w:color="auto"/>
          <w:color w:val="auto"/>
        </w:rPr>
        <w:t>Release Period</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right="20" w:firstLine="656"/>
        <w:spacing w:after="0" w:line="226" w:lineRule="auto"/>
        <w:tabs>
          <w:tab w:leader="none" w:pos="1237"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Settlement of RSU Award.</w:t>
      </w:r>
      <w:r>
        <w:rPr>
          <w:rFonts w:ascii="Arial" w:cs="Arial" w:eastAsia="Arial" w:hAnsi="Arial"/>
          <w:sz w:val="21"/>
          <w:szCs w:val="21"/>
          <w:color w:val="auto"/>
        </w:rPr>
        <w:t xml:space="preserve"> On the Settlement Date, the Company shall deliver to you or your legal representative either (i) one Share or (ii) if not prohibited under the terms of the Global Appendix, a cash payment equal to the Fair Market Value determined as of the Settlement Date of one Share, in each case, for each RSU that has vested in accordance with the terms of this Award Agreement; provided that, subject to the foregoing, the Company shall have sole discretion to determine whether to settle such RSUs in Shares, cash or a combination thereof.</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u w:val="single" w:color="auto"/>
          <w:color w:val="auto"/>
        </w:rPr>
        <w:t>Forfeiture of RSUs.</w:t>
      </w:r>
      <w:r>
        <w:rPr>
          <w:rFonts w:ascii="Arial" w:cs="Arial" w:eastAsia="Arial" w:hAnsi="Arial"/>
          <w:sz w:val="22"/>
          <w:szCs w:val="22"/>
          <w:b w:val="1"/>
          <w:bCs w:val="1"/>
          <w:color w:val="auto"/>
        </w:rPr>
        <w:t xml:space="preserve"> </w:t>
      </w:r>
      <w:r>
        <w:rPr>
          <w:rFonts w:ascii="Arial" w:cs="Arial" w:eastAsia="Arial" w:hAnsi="Arial"/>
          <w:sz w:val="22"/>
          <w:szCs w:val="22"/>
          <w:color w:val="auto"/>
        </w:rPr>
        <w:t>If you (a) breach any restrictive covenant (which, for the avoidance of doubt, includes any</w:t>
      </w:r>
      <w:r>
        <w:rPr>
          <w:rFonts w:ascii="Arial" w:cs="Arial" w:eastAsia="Arial" w:hAnsi="Arial"/>
          <w:sz w:val="22"/>
          <w:szCs w:val="22"/>
          <w:b w:val="1"/>
          <w:bCs w:val="1"/>
          <w:color w:val="auto"/>
        </w:rPr>
        <w:t xml:space="preserve"> </w:t>
      </w:r>
      <w:r>
        <w:rPr>
          <w:rFonts w:ascii="Arial" w:cs="Arial" w:eastAsia="Arial" w:hAnsi="Arial"/>
          <w:sz w:val="22"/>
          <w:szCs w:val="22"/>
          <w:color w:val="auto"/>
        </w:rPr>
        <w:t>non-compete, non-solicit, non-disparagement or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440" w:right="31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19"/>
          <w:szCs w:val="19"/>
          <w:color w:val="auto"/>
        </w:rPr>
        <w:t>provisions) contained in any arrangements with the Company (including your Employment Agreement and your Confidential Information Protection Agreement) to which you are subject or (b) engage in fraud or willful misconduct that contributes materially to any financial restatement or material loss to the Company or any Subsidiary, your rights with respect to the RSUs shall immediately terminate, and you shall be entitled to no further payments or benefits with respect 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(6) months after learning of the conduct described in this Section 4 and (ii) in cases where cure is possible, you shall first be provided a 15-day cure period to cease, and to cure, such conduct.</w:t>
      </w:r>
    </w:p>
    <w:p>
      <w:pPr>
        <w:spacing w:after="0" w:line="17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You shall not have any rights or privileges of a stockholder with respect to the RSUs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this Award Agreement unless and until Shares are actually issued in book-entry form to you or your legal representative in settlement of this Award.</w:t>
      </w:r>
    </w:p>
    <w:p>
      <w:pPr>
        <w:spacing w:after="0" w:line="180"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Non-Transferability of RSUs.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provided by the Committee in its discretion, RSUs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u w:val="single" w:color="auto"/>
          <w:color w:val="auto"/>
        </w:rPr>
        <w:t>Tax Obligations.</w:t>
      </w:r>
    </w:p>
    <w:p>
      <w:pPr>
        <w:spacing w:after="0" w:line="212" w:lineRule="exact"/>
        <w:rPr>
          <w:sz w:val="20"/>
          <w:szCs w:val="20"/>
          <w:color w:val="auto"/>
        </w:rPr>
      </w:pPr>
    </w:p>
    <w:p>
      <w:pPr>
        <w:jc w:val="both"/>
        <w:ind w:firstLine="656"/>
        <w:spacing w:after="0" w:line="243" w:lineRule="auto"/>
        <w:tabs>
          <w:tab w:leader="none" w:pos="1239" w:val="left"/>
        </w:tabs>
        <w:numPr>
          <w:ilvl w:val="0"/>
          <w:numId w:val="14"/>
        </w:numPr>
        <w:rPr>
          <w:rFonts w:ascii="Arial" w:cs="Arial" w:eastAsia="Arial" w:hAnsi="Arial"/>
          <w:sz w:val="19"/>
          <w:szCs w:val="19"/>
          <w:color w:val="auto"/>
        </w:rPr>
      </w:pPr>
      <w:r>
        <w:rPr>
          <w:rFonts w:ascii="Arial" w:cs="Arial" w:eastAsia="Arial" w:hAnsi="Arial"/>
          <w:sz w:val="19"/>
          <w:szCs w:val="19"/>
          <w:color w:val="auto"/>
        </w:rPr>
        <w:t>You acknowledge that, regardless of any action taken by the Company, or, if different, the Affiliate of the Company that employs you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(including U.S. federal, state and local taxes or non-U.S. taxes), social insurance, payroll tax, fringe benefit, payment on account or other tax-related items resulting from the RSUs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your acknowledge that the Company and/or the Employer (or former employer, as applicable) may be required to withhold or account for Tax-Related Items in more than one jurisdiction.</w:t>
      </w:r>
    </w:p>
    <w:p>
      <w:pPr>
        <w:spacing w:after="0" w:line="158" w:lineRule="exact"/>
        <w:rPr>
          <w:rFonts w:ascii="Arial" w:cs="Arial" w:eastAsia="Arial" w:hAnsi="Arial"/>
          <w:sz w:val="19"/>
          <w:szCs w:val="19"/>
          <w:color w:val="auto"/>
        </w:rPr>
      </w:pPr>
    </w:p>
    <w:p>
      <w:pPr>
        <w:jc w:val="both"/>
        <w:ind w:firstLine="656"/>
        <w:spacing w:after="0" w:line="218" w:lineRule="auto"/>
        <w:tabs>
          <w:tab w:leader="none" w:pos="1251"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or rights with regard to all Tax-Related Items by one or a combination of:</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payable to you by the Company or its Affiliates;</w:t>
      </w:r>
    </w:p>
    <w:p>
      <w:pPr>
        <w:spacing w:after="0" w:line="213" w:lineRule="exact"/>
        <w:rPr>
          <w:rFonts w:ascii="Arial" w:cs="Arial" w:eastAsia="Arial" w:hAnsi="Arial"/>
          <w:sz w:val="19"/>
          <w:szCs w:val="19"/>
          <w:color w:val="auto"/>
        </w:rPr>
      </w:pPr>
    </w:p>
    <w:p>
      <w:pPr>
        <w:ind w:left="1900" w:hanging="596"/>
        <w:spacing w:after="0"/>
        <w:tabs>
          <w:tab w:leader="none" w:pos="19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that otherwise would be issued to you when your RSUs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1" w:right="339" w:bottom="1440" w:gutter="0" w:footer="0" w:header="0"/>
        </w:sectPr>
      </w:pPr>
    </w:p>
    <w:bookmarkStart w:id="33" w:name="page34"/>
    <w:bookmarkEnd w:id="33"/>
    <w:p>
      <w:pPr>
        <w:ind w:firstLine="1304"/>
        <w:spacing w:after="0" w:line="232" w:lineRule="auto"/>
        <w:tabs>
          <w:tab w:leader="none" w:pos="1917" w:val="left"/>
        </w:tabs>
        <w:numPr>
          <w:ilvl w:val="1"/>
          <w:numId w:val="15"/>
        </w:numPr>
        <w:rPr>
          <w:rFonts w:ascii="Arial" w:cs="Arial" w:eastAsia="Arial" w:hAnsi="Arial"/>
          <w:sz w:val="22"/>
          <w:szCs w:val="22"/>
          <w:color w:val="auto"/>
        </w:rPr>
      </w:pPr>
      <w:r>
        <w:rPr>
          <w:rFonts w:ascii="Arial" w:cs="Arial" w:eastAsia="Arial" w:hAnsi="Arial"/>
          <w:sz w:val="22"/>
          <w:szCs w:val="22"/>
          <w:color w:val="auto"/>
        </w:rPr>
        <w:t>withholding from proceeds of the sale of Shares, through a voluntary sale or through a mandatory sale arranged by the Company (on your behalf pursuant to this authorization without further consent);</w:t>
      </w:r>
    </w:p>
    <w:p>
      <w:pPr>
        <w:spacing w:after="0" w:line="158" w:lineRule="exact"/>
        <w:rPr>
          <w:rFonts w:ascii="Arial" w:cs="Arial" w:eastAsia="Arial" w:hAnsi="Arial"/>
          <w:sz w:val="22"/>
          <w:szCs w:val="22"/>
          <w:color w:val="auto"/>
        </w:rPr>
      </w:pPr>
    </w:p>
    <w:p>
      <w:pPr>
        <w:ind w:left="1880" w:hanging="576"/>
        <w:spacing w:after="0"/>
        <w:tabs>
          <w:tab w:leader="none" w:pos="18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requiring you to make a payment in cash or by check;</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reducing the amount of any cash otherwise payable to you with respect to the RSUs (if any);</w:t>
      </w:r>
    </w:p>
    <w:p>
      <w:pPr>
        <w:spacing w:after="0" w:line="179" w:lineRule="exact"/>
        <w:rPr>
          <w:rFonts w:ascii="Arial" w:cs="Arial" w:eastAsia="Arial" w:hAnsi="Arial"/>
          <w:sz w:val="22"/>
          <w:szCs w:val="22"/>
          <w:color w:val="auto"/>
        </w:rPr>
      </w:pPr>
    </w:p>
    <w:p>
      <w:pPr>
        <w:ind w:firstLine="1304"/>
        <w:spacing w:after="0" w:line="232" w:lineRule="auto"/>
        <w:tabs>
          <w:tab w:leader="none" w:pos="1878" w:val="left"/>
        </w:tabs>
        <w:numPr>
          <w:ilvl w:val="1"/>
          <w:numId w:val="15"/>
        </w:numPr>
        <w:rPr>
          <w:rFonts w:ascii="Arial" w:cs="Arial" w:eastAsia="Arial" w:hAnsi="Arial"/>
          <w:sz w:val="22"/>
          <w:szCs w:val="22"/>
          <w:color w:val="auto"/>
        </w:rPr>
      </w:pPr>
      <w:r>
        <w:rPr>
          <w:rFonts w:ascii="Arial" w:cs="Arial" w:eastAsia="Arial" w:hAnsi="Arial"/>
          <w:sz w:val="22"/>
          <w:szCs w:val="22"/>
          <w:color w:val="auto"/>
        </w:rPr>
        <w:t>any other method of withholding approved by the Company and to the extent required by applicable laws or the Plan, approved by the Committee; or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97"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and in each case, under such rules as may be established by the Committee and in compliance with the Company’s insider trading policy;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otherwise determined by the Committee, if you are a Section 16 officer of the Company under the Exchange Act, then the method of withholding shall be through a withholding of Shares under (ii) above.</w:t>
      </w:r>
    </w:p>
    <w:p>
      <w:pPr>
        <w:spacing w:after="0" w:line="160" w:lineRule="exact"/>
        <w:rPr>
          <w:rFonts w:ascii="Arial" w:cs="Arial" w:eastAsia="Arial" w:hAnsi="Arial"/>
          <w:sz w:val="22"/>
          <w:szCs w:val="22"/>
          <w:color w:val="auto"/>
        </w:rPr>
      </w:pPr>
    </w:p>
    <w:p>
      <w:pPr>
        <w:jc w:val="both"/>
        <w:ind w:right="20" w:firstLine="656"/>
        <w:spacing w:after="0" w:line="223" w:lineRule="auto"/>
        <w:tabs>
          <w:tab w:leader="none" w:pos="1266"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Notwithstanding any contrary provision of the Plan or this Award Agreement, if you fail to make satisfactory arrangements for the payment of any withholding tax liability when due, the Company may refuse to issue or deliver the Shares or treat some or all of the RSUs and the Shares underlying the RSUs as forfeited.</w:t>
      </w:r>
    </w:p>
    <w:p>
      <w:pPr>
        <w:spacing w:after="0" w:line="396" w:lineRule="exact"/>
        <w:rPr>
          <w:sz w:val="20"/>
          <w:szCs w:val="20"/>
          <w:color w:val="auto"/>
        </w:rPr>
      </w:pPr>
    </w:p>
    <w:p>
      <w:pPr>
        <w:jc w:val="both"/>
        <w:spacing w:after="0" w:line="222"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21"/>
          <w:szCs w:val="21"/>
          <w:u w:val="single" w:color="auto"/>
          <w:color w:val="auto"/>
        </w:rPr>
        <w:t>Trade Monitoring Policy.</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required to maintain a securities brokerage account with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broker in order to receive any Shares issuable under this Award, in accordance with the Company securities trade monitoring policy (the “</w:t>
      </w:r>
      <w:r>
        <w:rPr>
          <w:rFonts w:ascii="Arial" w:cs="Arial" w:eastAsia="Arial" w:hAnsi="Arial"/>
          <w:sz w:val="21"/>
          <w:szCs w:val="21"/>
          <w:u w:val="single" w:color="auto"/>
          <w:color w:val="auto"/>
        </w:rPr>
        <w:t>Trade Monitoring Policy</w:t>
      </w:r>
      <w:r>
        <w:rPr>
          <w:rFonts w:ascii="Arial" w:cs="Arial" w:eastAsia="Arial" w:hAnsi="Arial"/>
          <w:sz w:val="21"/>
          <w:szCs w:val="21"/>
          <w:color w:val="auto"/>
        </w:rPr>
        <w:t>”).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184"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u w:val="single" w:color="auto"/>
          <w:color w:val="auto"/>
        </w:rPr>
        <w:t>Currency Risk.</w:t>
      </w:r>
      <w:r>
        <w:rPr>
          <w:rFonts w:ascii="Arial" w:cs="Arial" w:eastAsia="Arial" w:hAnsi="Arial"/>
          <w:sz w:val="22"/>
          <w:szCs w:val="22"/>
          <w:b w:val="1"/>
          <w:bCs w:val="1"/>
          <w:color w:val="auto"/>
        </w:rPr>
        <w:t xml:space="preserve"> </w:t>
      </w:r>
      <w:r>
        <w:rPr>
          <w:rFonts w:ascii="Arial" w:cs="Arial" w:eastAsia="Arial" w:hAnsi="Arial"/>
          <w:sz w:val="22"/>
          <w:szCs w:val="22"/>
          <w:color w:val="auto"/>
        </w:rPr>
        <w:t>You accept that if the Shares subject to your Award are traded in a currency which is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spacing w:after="0" w:line="179" w:lineRule="exact"/>
        <w:rPr>
          <w:sz w:val="20"/>
          <w:szCs w:val="20"/>
          <w:color w:val="auto"/>
        </w:rPr>
      </w:pPr>
    </w:p>
    <w:p>
      <w:pPr>
        <w:jc w:val="both"/>
        <w:ind w:right="220"/>
        <w:spacing w:after="0" w:line="220" w:lineRule="auto"/>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the Shares issuable thereunder,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15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u w:val="single" w:color="auto"/>
          <w:color w:val="auto"/>
        </w:rPr>
        <w:t>Section 280G.</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in this Award Agreement to the contrary and regardless of</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22"/>
          <w:szCs w:val="22"/>
          <w:u w:val="single" w:color="auto"/>
          <w:color w:val="auto"/>
        </w:rPr>
        <w:t>CIC Benefits</w:t>
      </w:r>
      <w:r>
        <w:rPr>
          <w:rFonts w:ascii="Arial" w:cs="Arial" w:eastAsia="Arial" w:hAnsi="Arial"/>
          <w:sz w:val="22"/>
          <w:szCs w:val="22"/>
          <w:color w:val="auto"/>
        </w:rPr>
        <w:t>”) (a) constitute “parachute payments” within the meaning of Section 280G of the Code, and (b) but for this paragraph would be subject to the excise tax imposed by Section 4999 of the Code (the “</w:t>
      </w:r>
      <w:r>
        <w:rPr>
          <w:rFonts w:ascii="Arial" w:cs="Arial" w:eastAsia="Arial" w:hAnsi="Arial"/>
          <w:sz w:val="22"/>
          <w:szCs w:val="22"/>
          <w:u w:val="single" w:color="auto"/>
          <w:color w:val="auto"/>
        </w:rPr>
        <w:t>Excise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1" w:right="339" w:bottom="1440" w:gutter="0" w:footer="0" w:header="0"/>
        </w:sectPr>
      </w:pPr>
    </w:p>
    <w:bookmarkStart w:id="34" w:name="page35"/>
    <w:bookmarkEnd w:id="34"/>
    <w:p>
      <w:pPr>
        <w:jc w:val="both"/>
        <w:spacing w:after="0"/>
        <w:rPr>
          <w:sz w:val="20"/>
          <w:szCs w:val="20"/>
          <w:color w:val="auto"/>
        </w:rPr>
      </w:pPr>
      <w:r>
        <w:rPr>
          <w:rFonts w:ascii="Arial" w:cs="Arial" w:eastAsia="Arial" w:hAnsi="Arial"/>
          <w:sz w:val="19"/>
          <w:szCs w:val="19"/>
          <w:u w:val="single" w:color="auto"/>
          <w:color w:val="auto"/>
        </w:rPr>
        <w:t>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11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11,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11, and the Company shall bear the cost of all fees the Accounting Firm charges in connection with any calculations contemplated by this Section 11. In connection with making determinations under this Section 11,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Code Section 409A; No Deferral of Compensation</w:t>
      </w:r>
      <w:r>
        <w:rPr>
          <w:rFonts w:ascii="Arial" w:cs="Arial" w:eastAsia="Arial" w:hAnsi="Arial"/>
          <w:sz w:val="19"/>
          <w:szCs w:val="19"/>
          <w:color w:val="auto"/>
        </w:rPr>
        <w:t>. Neither the Plan nor this Award Agreement is intended</w:t>
      </w:r>
      <w:r>
        <w:rPr>
          <w:rFonts w:ascii="Arial" w:cs="Arial" w:eastAsia="Arial" w:hAnsi="Arial"/>
          <w:sz w:val="19"/>
          <w:szCs w:val="19"/>
          <w:b w:val="1"/>
          <w:bCs w:val="1"/>
          <w:color w:val="auto"/>
        </w:rPr>
        <w:t xml:space="preserve"> </w:t>
      </w:r>
      <w:r>
        <w:rPr>
          <w:rFonts w:ascii="Arial" w:cs="Arial" w:eastAsia="Arial" w:hAnsi="Arial"/>
          <w:sz w:val="19"/>
          <w:szCs w:val="19"/>
          <w:color w:val="auto"/>
        </w:rPr>
        <w:t>to provide for the deferral of compensation within the meaning of Code Section 409A. If the Company determines that this Award Agreement is subject to Code Section 409A and that it has failed to comply with the requirements of Code Section 409A, the Company may, at the Company’s sole discretion and without your consent, amend the Award Agreement to cause the terms and conditions of the Award Agreement to comply with Code Section 409A or be exempt from Code Section 409A. If it is determined that this Award is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w:t>
      </w:r>
    </w:p>
    <w:p>
      <w:pPr>
        <w:spacing w:after="0" w:line="4" w:lineRule="exact"/>
        <w:rPr>
          <w:sz w:val="20"/>
          <w:szCs w:val="20"/>
          <w:color w:val="auto"/>
        </w:rPr>
      </w:pPr>
    </w:p>
    <w:p>
      <w:pPr>
        <w:jc w:val="both"/>
        <w:ind w:firstLine="8"/>
        <w:spacing w:after="0" w:line="211" w:lineRule="auto"/>
        <w:tabs>
          <w:tab w:leader="none" w:pos="319" w:val="left"/>
        </w:tabs>
        <w:numPr>
          <w:ilvl w:val="0"/>
          <w:numId w:val="17"/>
        </w:numPr>
        <w:rPr>
          <w:rFonts w:ascii="Arial" w:cs="Arial" w:eastAsia="Arial" w:hAnsi="Arial"/>
          <w:sz w:val="22"/>
          <w:szCs w:val="22"/>
          <w:color w:val="auto"/>
        </w:rPr>
      </w:pPr>
      <w:r>
        <w:rPr>
          <w:rFonts w:ascii="Arial" w:cs="Arial" w:eastAsia="Arial" w:hAnsi="Arial"/>
          <w:sz w:val="22"/>
          <w:szCs w:val="22"/>
          <w:color w:val="auto"/>
        </w:rPr>
        <w:t>months thereafter will not be made on the originally scheduled date(s) and will instead be issued in a lump sum on the date that is six (6) months and one day after the date of the Separation from Service. If it is determined that this Award is subject to Section 409A and the Release Period set forth in Section 3(c) of this Award Agreement crosses tax years, then the Settlement Date shall occur in the second tax year. Notwithstanding the foregoing, in no event shall the Company or its subsidiaries or affiliates be liable for all or any portion of any taxes, penalties, interest or other expenses that may be incurred you on account of non-compliance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1" w:right="339" w:bottom="1440" w:gutter="0" w:footer="0" w:header="0"/>
        </w:sectPr>
      </w:pPr>
    </w:p>
    <w:bookmarkStart w:id="35" w:name="page36"/>
    <w:bookmarkEnd w:id="35"/>
    <w:p>
      <w:pPr>
        <w:spacing w:after="0"/>
        <w:tabs>
          <w:tab w:leader="none" w:pos="18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 xml:space="preserve">Nature of the Award. </w:t>
      </w:r>
      <w:r>
        <w:rPr>
          <w:rFonts w:ascii="Arial" w:cs="Arial" w:eastAsia="Arial" w:hAnsi="Arial"/>
          <w:sz w:val="19"/>
          <w:szCs w:val="19"/>
          <w:color w:val="auto"/>
        </w:rPr>
        <w:t>By accepting the RSUs, you acknowledge, understand and agree that:</w:t>
      </w:r>
    </w:p>
    <w:p>
      <w:pPr>
        <w:spacing w:after="0" w:line="185" w:lineRule="exact"/>
        <w:rPr>
          <w:sz w:val="20"/>
          <w:szCs w:val="20"/>
          <w:color w:val="auto"/>
        </w:rPr>
      </w:pPr>
    </w:p>
    <w:p>
      <w:pPr>
        <w:ind w:left="180" w:firstLine="638"/>
        <w:spacing w:after="0" w:line="298" w:lineRule="auto"/>
        <w:tabs>
          <w:tab w:leader="none" w:pos="125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Voluntary and Discretionary</w:t>
      </w:r>
      <w:r>
        <w:rPr>
          <w:rFonts w:ascii="Arial" w:cs="Arial" w:eastAsia="Arial" w:hAnsi="Arial"/>
          <w:sz w:val="19"/>
          <w:szCs w:val="19"/>
          <w:color w:val="auto"/>
        </w:rPr>
        <w:t>. The Plan is established voluntarily by the Company, is wholly discretionary in nature and may be modified, amended, suspended, or terminated by the Company at any time, to the extent permitted by the Plan;</w:t>
      </w:r>
    </w:p>
    <w:p>
      <w:pPr>
        <w:spacing w:after="0" w:line="105" w:lineRule="exact"/>
        <w:rPr>
          <w:rFonts w:ascii="Arial" w:cs="Arial" w:eastAsia="Arial" w:hAnsi="Arial"/>
          <w:sz w:val="19"/>
          <w:szCs w:val="19"/>
          <w:color w:val="auto"/>
        </w:rPr>
      </w:pPr>
    </w:p>
    <w:p>
      <w:pPr>
        <w:jc w:val="both"/>
        <w:ind w:left="180" w:firstLine="638"/>
        <w:spacing w:after="0" w:line="218" w:lineRule="auto"/>
        <w:tabs>
          <w:tab w:leader="none" w:pos="125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87" w:lineRule="exact"/>
        <w:rPr>
          <w:rFonts w:ascii="Arial" w:cs="Arial" w:eastAsia="Arial" w:hAnsi="Arial"/>
          <w:sz w:val="22"/>
          <w:szCs w:val="22"/>
          <w:color w:val="auto"/>
        </w:rPr>
      </w:pPr>
    </w:p>
    <w:p>
      <w:pPr>
        <w:ind w:left="180" w:firstLine="638"/>
        <w:spacing w:after="0" w:line="232" w:lineRule="auto"/>
        <w:tabs>
          <w:tab w:leader="none" w:pos="125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US Company Plan</w:t>
      </w:r>
      <w:r>
        <w:rPr>
          <w:rFonts w:ascii="Arial" w:cs="Arial" w:eastAsia="Arial" w:hAnsi="Arial"/>
          <w:sz w:val="22"/>
          <w:szCs w:val="22"/>
          <w:color w:val="auto"/>
        </w:rPr>
        <w:t>. The Plan is offered and administered by GXO Logistics, Inc., a US incorporated company, and not by your Employer (if different);</w:t>
      </w:r>
    </w:p>
    <w:p>
      <w:pPr>
        <w:spacing w:after="0" w:line="185" w:lineRule="exact"/>
        <w:rPr>
          <w:rFonts w:ascii="Arial" w:cs="Arial" w:eastAsia="Arial" w:hAnsi="Arial"/>
          <w:sz w:val="22"/>
          <w:szCs w:val="22"/>
          <w:color w:val="auto"/>
        </w:rPr>
      </w:pPr>
    </w:p>
    <w:p>
      <w:pPr>
        <w:ind w:left="180" w:firstLine="638"/>
        <w:spacing w:after="0" w:line="232" w:lineRule="auto"/>
        <w:tabs>
          <w:tab w:leader="none" w:pos="125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US Plan Documents</w:t>
      </w:r>
      <w:r>
        <w:rPr>
          <w:rFonts w:ascii="Arial" w:cs="Arial" w:eastAsia="Arial" w:hAnsi="Arial"/>
          <w:sz w:val="22"/>
          <w:szCs w:val="22"/>
          <w:color w:val="auto"/>
        </w:rPr>
        <w:t>. All documents related to the Plan, including the Plan rules and this Award Agreement and the links by which you access these documents, are originated and maintained in the US;</w:t>
      </w:r>
    </w:p>
    <w:p>
      <w:pPr>
        <w:spacing w:after="0" w:line="158" w:lineRule="exact"/>
        <w:rPr>
          <w:rFonts w:ascii="Arial" w:cs="Arial" w:eastAsia="Arial" w:hAnsi="Arial"/>
          <w:sz w:val="22"/>
          <w:szCs w:val="22"/>
          <w:color w:val="auto"/>
        </w:rPr>
      </w:pPr>
    </w:p>
    <w:p>
      <w:pPr>
        <w:jc w:val="both"/>
        <w:ind w:left="180" w:firstLine="638"/>
        <w:spacing w:after="0" w:line="218" w:lineRule="auto"/>
        <w:tabs>
          <w:tab w:leader="none" w:pos="1257"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Exceptional and Occasional Benefit</w:t>
      </w:r>
      <w:r>
        <w:rPr>
          <w:rFonts w:ascii="Arial" w:cs="Arial" w:eastAsia="Arial" w:hAnsi="Arial"/>
          <w:sz w:val="22"/>
          <w:szCs w:val="22"/>
          <w:color w:val="auto"/>
        </w:rPr>
        <w:t>. The grant of the RSUs is exceptional, voluntary and occasional and does not create any contractual or other right to receive future grants of RSUs, or benefits in lieu of RSUs, even if RSUs have been granted in the past. All decisions with respect to future grants of RSUs or other grants, if any, will be at the sole discretion of the Company;</w:t>
      </w:r>
    </w:p>
    <w:p>
      <w:pPr>
        <w:spacing w:after="0" w:line="160" w:lineRule="exact"/>
        <w:rPr>
          <w:rFonts w:ascii="Arial" w:cs="Arial" w:eastAsia="Arial" w:hAnsi="Arial"/>
          <w:sz w:val="22"/>
          <w:szCs w:val="22"/>
          <w:color w:val="auto"/>
        </w:rPr>
      </w:pPr>
    </w:p>
    <w:p>
      <w:pPr>
        <w:jc w:val="both"/>
        <w:ind w:left="180" w:firstLine="638"/>
        <w:spacing w:after="0" w:line="216" w:lineRule="auto"/>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 Employment or Service Rights</w:t>
      </w:r>
      <w:r>
        <w:rPr>
          <w:rFonts w:ascii="Arial" w:cs="Arial" w:eastAsia="Arial" w:hAnsi="Arial"/>
          <w:sz w:val="22"/>
          <w:szCs w:val="22"/>
          <w:color w:val="auto"/>
        </w:rPr>
        <w:t>. The RSUs and your participation in the Plan shall not create a right of employment or other service relationship with the Company and shall not be interpreted as forming or amending an employment or service contract with the Company or the employing company (if different). Further, the RSUs and your Participation in the Plan shall not interfere with the ability of the Company, the employing company (if different) or any Affiliate, as applicable, to terminate your employment or service relationship (if any);</w:t>
      </w:r>
    </w:p>
    <w:p>
      <w:pPr>
        <w:spacing w:after="0" w:line="157" w:lineRule="exact"/>
        <w:rPr>
          <w:rFonts w:ascii="Arial" w:cs="Arial" w:eastAsia="Arial" w:hAnsi="Arial"/>
          <w:sz w:val="22"/>
          <w:szCs w:val="22"/>
          <w:color w:val="auto"/>
        </w:rPr>
      </w:pPr>
    </w:p>
    <w:p>
      <w:pPr>
        <w:ind w:left="1240" w:hanging="422"/>
        <w:spacing w:after="0"/>
        <w:tabs>
          <w:tab w:leader="none" w:pos="12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Voluntary Plan Participation</w:t>
      </w:r>
      <w:r>
        <w:rPr>
          <w:rFonts w:ascii="Arial" w:cs="Arial" w:eastAsia="Arial" w:hAnsi="Arial"/>
          <w:sz w:val="22"/>
          <w:szCs w:val="22"/>
          <w:color w:val="auto"/>
        </w:rPr>
        <w:t>. You are voluntarily participating in the Plan;</w:t>
      </w:r>
    </w:p>
    <w:p>
      <w:pPr>
        <w:spacing w:after="0" w:line="179" w:lineRule="exact"/>
        <w:rPr>
          <w:rFonts w:ascii="Arial" w:cs="Arial" w:eastAsia="Arial" w:hAnsi="Arial"/>
          <w:sz w:val="22"/>
          <w:szCs w:val="22"/>
          <w:color w:val="auto"/>
        </w:rPr>
      </w:pPr>
    </w:p>
    <w:p>
      <w:pPr>
        <w:jc w:val="both"/>
        <w:ind w:left="180" w:firstLine="638"/>
        <w:spacing w:after="0" w:line="211" w:lineRule="auto"/>
        <w:tabs>
          <w:tab w:leader="none" w:pos="126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RSUs Not In Lieu of Other Compensation</w:t>
      </w:r>
      <w:r>
        <w:rPr>
          <w:rFonts w:ascii="Arial" w:cs="Arial" w:eastAsia="Arial" w:hAnsi="Arial"/>
          <w:sz w:val="22"/>
          <w:szCs w:val="22"/>
          <w:color w:val="auto"/>
        </w:rPr>
        <w:t>. The RSUs and any Shares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payments. Further, the RSUs and the Shares subject to the RSUs, and the income from and value of same, are not intended to replace any pension rights or compensation. Unless otherwise agreed with the Company, the RSUs and the Shares underlying the RSUs, and the income from and value of same, are not granted as consideration for, or in connection with, the service you may provide as a Director of an Affiliate of the Company.</w:t>
      </w:r>
    </w:p>
    <w:p>
      <w:pPr>
        <w:spacing w:after="0" w:line="164" w:lineRule="exact"/>
        <w:rPr>
          <w:rFonts w:ascii="Arial" w:cs="Arial" w:eastAsia="Arial" w:hAnsi="Arial"/>
          <w:sz w:val="22"/>
          <w:szCs w:val="22"/>
          <w:color w:val="auto"/>
        </w:rPr>
      </w:pPr>
    </w:p>
    <w:p>
      <w:pPr>
        <w:ind w:left="180" w:right="20" w:firstLine="638"/>
        <w:spacing w:after="0" w:line="232" w:lineRule="auto"/>
        <w:tabs>
          <w:tab w:leader="none" w:pos="127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Uncertain Future Value</w:t>
      </w:r>
      <w:r>
        <w:rPr>
          <w:rFonts w:ascii="Arial" w:cs="Arial" w:eastAsia="Arial" w:hAnsi="Arial"/>
          <w:sz w:val="22"/>
          <w:szCs w:val="22"/>
          <w:color w:val="auto"/>
        </w:rPr>
        <w:t>. The future value of the Shares underlying the RSUs is unknown, indeterminable, and cannot be predicted with certainty.</w:t>
      </w:r>
    </w:p>
    <w:p>
      <w:pPr>
        <w:spacing w:after="0" w:line="158" w:lineRule="exact"/>
        <w:rPr>
          <w:rFonts w:ascii="Arial" w:cs="Arial" w:eastAsia="Arial" w:hAnsi="Arial"/>
          <w:sz w:val="22"/>
          <w:szCs w:val="22"/>
          <w:color w:val="auto"/>
        </w:rPr>
      </w:pPr>
    </w:p>
    <w:p>
      <w:pPr>
        <w:jc w:val="both"/>
        <w:ind w:left="180" w:firstLine="638"/>
        <w:spacing w:after="0" w:line="268" w:lineRule="auto"/>
        <w:tabs>
          <w:tab w:leader="none" w:pos="127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Entitlements</w:t>
      </w:r>
      <w:r>
        <w:rPr>
          <w:rFonts w:ascii="Arial" w:cs="Arial" w:eastAsia="Arial" w:hAnsi="Arial"/>
          <w:sz w:val="19"/>
          <w:szCs w:val="19"/>
          <w:color w:val="auto"/>
        </w:rPr>
        <w:t>. No claim or entitlement to compensation or damages shall arise from forfeiture of the RSUs resulting from the termination of your employment (for any reason whatsoever, whether or not later found to be invalid or in breach of employment laws in the jurisdiction where you are employed or the terms of your employment agreement, if 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5" w:right="339" w:bottom="1440" w:gutter="0" w:footer="0" w:header="0"/>
        </w:sectPr>
      </w:pPr>
    </w:p>
    <w:bookmarkStart w:id="36" w:name="page37"/>
    <w:bookmarkEnd w:id="36"/>
    <w:p>
      <w:pPr>
        <w:jc w:val="both"/>
        <w:ind w:left="180"/>
        <w:spacing w:after="0" w:line="221" w:lineRule="auto"/>
        <w:rPr>
          <w:sz w:val="20"/>
          <w:szCs w:val="20"/>
          <w:color w:val="auto"/>
        </w:rPr>
      </w:pPr>
      <w:r>
        <w:rPr>
          <w:rFonts w:ascii="Arial" w:cs="Arial" w:eastAsia="Arial" w:hAnsi="Arial"/>
          <w:sz w:val="21"/>
          <w:szCs w:val="21"/>
          <w:color w:val="auto"/>
        </w:rPr>
        <w:t>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 Unless otherwise provided in the Plan or by the Company in its discretion, the RSUs and the benefits evidenced by this Award Agreement do not create any entitlement to have the RSUs or any such benefits transferred to, or assumed by, another company, or to be exchanged, cashed out or substituted for, in connection with any corporate transaction affecting the Shares.</w:t>
      </w:r>
    </w:p>
    <w:p>
      <w:pPr>
        <w:spacing w:after="0" w:line="15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The terms and conditions of this Award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and shall inure to the benefit of the Company and its successors and assigns.</w:t>
      </w:r>
    </w:p>
    <w:p>
      <w:pPr>
        <w:spacing w:after="0" w:line="180"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u w:val="single" w:color="auto"/>
          <w:color w:val="auto"/>
        </w:rPr>
        <w:t>Committee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Compensation Committee of the Board shall have full and plenary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favor and you do not have any claim or right of action in respect of any decision, omission, or discretion which may operate to your disadvantage.</w:t>
      </w:r>
    </w:p>
    <w:p>
      <w:pPr>
        <w:spacing w:after="0" w:line="179"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u w:val="single" w:color="auto"/>
          <w:color w:val="auto"/>
        </w:rPr>
        <w:t>Dispute Resolution.</w:t>
      </w:r>
    </w:p>
    <w:p>
      <w:pPr>
        <w:spacing w:after="0" w:line="185" w:lineRule="exact"/>
        <w:rPr>
          <w:sz w:val="20"/>
          <w:szCs w:val="20"/>
          <w:color w:val="auto"/>
        </w:rPr>
      </w:pPr>
    </w:p>
    <w:p>
      <w:pPr>
        <w:jc w:val="both"/>
        <w:ind w:firstLine="656"/>
        <w:spacing w:after="0" w:line="241" w:lineRule="auto"/>
        <w:tabs>
          <w:tab w:leader="none" w:pos="126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xml:space="preserve"> Any claim initiated by you arising out of or relating to this Award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or any Subsidiary seeks injunctive relief pursuant to an Employment Agreement, Confidential Information Protection Agreement, or other individual agreement between you and the Company or any Subsidiary, any claim initiated by the Company arising out of or relating to this Award Agreement, or the breach thereof, shall, at the election of the Company be resolved in accordance with this Section 16.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16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16 shall be conclusive and binding upon you and may be enforced in any other jurisdiction.</w:t>
      </w:r>
    </w:p>
    <w:p>
      <w:pPr>
        <w:spacing w:after="0" w:line="192" w:lineRule="exact"/>
        <w:rPr>
          <w:rFonts w:ascii="Arial" w:cs="Arial" w:eastAsia="Arial" w:hAnsi="Arial"/>
          <w:sz w:val="19"/>
          <w:szCs w:val="19"/>
          <w:color w:val="auto"/>
        </w:rPr>
      </w:pPr>
    </w:p>
    <w:p>
      <w:pPr>
        <w:jc w:val="both"/>
        <w:ind w:firstLine="656"/>
        <w:spacing w:after="0" w:line="223" w:lineRule="auto"/>
        <w:tabs>
          <w:tab w:leader="none" w:pos="1251"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5" w:lineRule="exact"/>
        <w:rPr>
          <w:rFonts w:ascii="Arial" w:cs="Arial" w:eastAsia="Arial" w:hAnsi="Arial"/>
          <w:sz w:val="22"/>
          <w:szCs w:val="22"/>
          <w:color w:val="auto"/>
        </w:rPr>
      </w:pPr>
    </w:p>
    <w:p>
      <w:pPr>
        <w:jc w:val="both"/>
        <w:ind w:firstLine="656"/>
        <w:spacing w:after="0" w:line="223" w:lineRule="auto"/>
        <w:tabs>
          <w:tab w:leader="none" w:pos="1239"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16, except that you may disclose information concerning such dispute to the court that is considering such dispute or to your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32" w:lineRule="auto"/>
        <w:rPr>
          <w:sz w:val="20"/>
          <w:szCs w:val="20"/>
          <w:color w:val="auto"/>
        </w:rPr>
      </w:pPr>
      <w:r>
        <w:rPr>
          <w:rFonts w:ascii="Arial" w:cs="Arial" w:eastAsia="Arial" w:hAnsi="Arial"/>
          <w:sz w:val="22"/>
          <w:szCs w:val="22"/>
          <w:color w:val="auto"/>
        </w:rPr>
        <w:t>counsel (provided that such counsel agrees not to disclose any such information other than as necessary to the prosecution or defense of the dispute).</w:t>
      </w:r>
    </w:p>
    <w:p>
      <w:pPr>
        <w:spacing w:after="0" w:line="180"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u w:val="single" w:color="auto"/>
          <w:color w:val="auto"/>
        </w:rPr>
        <w:t>Notice</w:t>
      </w:r>
      <w:r>
        <w:rPr>
          <w:rFonts w:ascii="Arial" w:cs="Arial" w:eastAsia="Arial" w:hAnsi="Arial"/>
          <w:sz w:val="22"/>
          <w:szCs w:val="22"/>
          <w:color w:val="auto"/>
        </w:rPr>
        <w:t>. All notices, requests, demands and other communications required or permitted to be given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40"/>
          </w:cols>
          <w:pgMar w:left="320" w:top="1401"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GXO Logistics, Inc.</w:t>
      </w:r>
    </w:p>
    <w:p>
      <w:pPr>
        <w:spacing w:after="0" w:line="204" w:lineRule="auto"/>
        <w:rPr>
          <w:sz w:val="20"/>
          <w:szCs w:val="20"/>
          <w:color w:val="auto"/>
        </w:rPr>
      </w:pPr>
      <w:r>
        <w:rPr>
          <w:rFonts w:ascii="Arial" w:cs="Arial" w:eastAsia="Arial" w:hAnsi="Arial"/>
          <w:sz w:val="22"/>
          <w:szCs w:val="22"/>
          <w:color w:val="auto"/>
        </w:rPr>
        <w:t>Two American Lane</w:t>
      </w:r>
    </w:p>
    <w:p>
      <w:pPr>
        <w:spacing w:after="0" w:line="205" w:lineRule="auto"/>
        <w:rPr>
          <w:sz w:val="20"/>
          <w:szCs w:val="20"/>
          <w:color w:val="auto"/>
        </w:rPr>
      </w:pPr>
      <w:r>
        <w:rPr>
          <w:rFonts w:ascii="Arial" w:cs="Arial" w:eastAsia="Arial" w:hAnsi="Arial"/>
          <w:sz w:val="22"/>
          <w:szCs w:val="22"/>
          <w:color w:val="auto"/>
        </w:rPr>
        <w:t>Greenwich, CT 06831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680" w:space="720"/>
            <w:col w:w="5840"/>
          </w:cols>
          <w:pgMar w:left="320" w:top="1401"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20"/>
        <w:spacing w:after="0" w:line="232" w:lineRule="auto"/>
        <w:rPr>
          <w:sz w:val="20"/>
          <w:szCs w:val="20"/>
          <w:color w:val="auto"/>
        </w:rPr>
      </w:pPr>
      <w:r>
        <w:rPr>
          <w:rFonts w:ascii="Arial" w:cs="Arial" w:eastAsia="Arial" w:hAnsi="Arial"/>
          <w:sz w:val="22"/>
          <w:szCs w:val="22"/>
          <w:color w:val="auto"/>
        </w:rPr>
        <w:t>To your address as most recently supplied to the Company and set forth in the Company’s records</w:t>
      </w:r>
    </w:p>
    <w:p>
      <w:pPr>
        <w:spacing w:after="0" w:line="64" w:lineRule="exact"/>
        <w:rPr>
          <w:sz w:val="20"/>
          <w:szCs w:val="20"/>
          <w:color w:val="auto"/>
        </w:rPr>
      </w:pPr>
    </w:p>
    <w:p>
      <w:pPr>
        <w:sectPr>
          <w:pgSz w:w="11900" w:h="16838" w:orient="portrait"/>
          <w:cols w:equalWidth="0" w:num="2">
            <w:col w:w="4640" w:space="720"/>
            <w:col w:w="5880"/>
          </w:cols>
          <w:pgMar w:left="320" w:top="1401" w:right="339" w:bottom="1440" w:gutter="0" w:footer="0" w:header="0"/>
          <w:type w:val="continuous"/>
        </w:sectPr>
      </w:pPr>
    </w:p>
    <w:p>
      <w:pPr>
        <w:jc w:val="both"/>
        <w:ind w:right="20"/>
        <w:spacing w:after="0" w:line="232"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18.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deemed to be made in the State of Delaware,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construction and effect of this Award Agreement in all respects shall be determined in accordance with the laws of the State of Delaware, without giving effect to the conflict of law principles thereof.</w:t>
      </w:r>
    </w:p>
    <w:p>
      <w:pPr>
        <w:spacing w:after="0" w:line="180" w:lineRule="exact"/>
        <w:rPr>
          <w:sz w:val="20"/>
          <w:szCs w:val="20"/>
          <w:color w:val="auto"/>
        </w:rPr>
      </w:pPr>
    </w:p>
    <w:p>
      <w:pPr>
        <w:jc w:val="both"/>
        <w:spacing w:after="0" w:line="212"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u w:val="single" w:color="auto"/>
          <w:color w:val="auto"/>
        </w:rPr>
        <w:t>Consent to Electronic Delivery and Participation</w:t>
      </w:r>
      <w:r>
        <w:rPr>
          <w:rFonts w:ascii="Arial" w:cs="Arial" w:eastAsia="Arial" w:hAnsi="Arial"/>
          <w:sz w:val="22"/>
          <w:szCs w:val="22"/>
          <w:color w:val="auto"/>
        </w:rPr>
        <w:t>. By accepting the RSUs, you agree to participate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through an on-line or electronic system established and maintained by the Company or a third party designated by the Company, and consents to the electronic delivery of this Award Agreement, the Plan, account statements, Plan prospectuses, and all other documents,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You may request that hard copies of any Plan-related documents be provided, free of charge, by contacting gxoequityadmin@GXO.com.</w:t>
      </w:r>
    </w:p>
    <w:p>
      <w:pPr>
        <w:spacing w:after="0" w:line="18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Headings are given to the Sections and subsections of this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79" w:lineRule="exact"/>
        <w:rPr>
          <w:sz w:val="20"/>
          <w:szCs w:val="20"/>
          <w:color w:val="auto"/>
        </w:rPr>
      </w:pPr>
    </w:p>
    <w:p>
      <w:pPr>
        <w:jc w:val="both"/>
        <w:spacing w:after="0" w:line="215" w:lineRule="auto"/>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u w:val="single" w:color="auto"/>
          <w:color w:val="auto"/>
        </w:rPr>
        <w:t>Amendment of this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waive any conditions or rights under, amend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terms of, or alter, suspend, discontinue, cancel or terminate this Award Agreement prospectively or retroactively;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provision, that this Award Agreement and the RSUs shall be subject to the provisions of Section 7(c)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1" w:right="339" w:bottom="1440" w:gutter="0" w:footer="0" w:header="0"/>
          <w:type w:val="continuous"/>
        </w:sectPr>
      </w:pPr>
    </w:p>
    <w:bookmarkStart w:id="38" w:name="page39"/>
    <w:bookmarkEnd w:id="38"/>
    <w:p>
      <w:pPr>
        <w:jc w:val="both"/>
        <w:spacing w:after="0" w:line="220"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Agreement may be signed in counterparts, each of which shall be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same effect as if the signatures thereto and hereto were upon the same instrument. You and the Company hereby acknowledge and agree that signatures delivered by facsimile or electronic means (including by electronic signature or “pdf”) shall be deemed effective for all purposes.</w:t>
      </w:r>
    </w:p>
    <w:p>
      <w:pPr>
        <w:spacing w:after="0" w:line="200" w:lineRule="exact"/>
        <w:rPr>
          <w:sz w:val="20"/>
          <w:szCs w:val="20"/>
          <w:color w:val="auto"/>
        </w:rPr>
      </w:pPr>
    </w:p>
    <w:p>
      <w:pPr>
        <w:spacing w:after="0" w:line="228"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GXO LOGISTICS, INC.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Maryclaire Hammond</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Human Resources Officer</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-17780</wp:posOffset>
            </wp:positionV>
            <wp:extent cx="685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[INSERT EMPLOYEE NAME]</w:t>
      </w:r>
    </w:p>
    <w:p>
      <w:pPr>
        <w:spacing w:after="0" w:line="1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-17780</wp:posOffset>
            </wp:positionV>
            <wp:extent cx="685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GXO Logistics, Inc. (“GXO”)</w:t>
      </w:r>
    </w:p>
    <w:p>
      <w:pPr>
        <w:jc w:val="center"/>
        <w:spacing w:after="0"/>
        <w:rPr>
          <w:sz w:val="20"/>
          <w:szCs w:val="20"/>
          <w:color w:val="auto"/>
        </w:rPr>
      </w:pPr>
      <w:r>
        <w:rPr>
          <w:rFonts w:ascii="Arial" w:cs="Arial" w:eastAsia="Arial" w:hAnsi="Arial"/>
          <w:sz w:val="22"/>
          <w:szCs w:val="22"/>
          <w:b w:val="1"/>
          <w:bCs w:val="1"/>
          <w:color w:val="auto"/>
        </w:rPr>
        <w:t>Global Appendix (shares)</w:t>
      </w:r>
    </w:p>
    <w:p>
      <w:pPr>
        <w:spacing w:after="0" w:line="229" w:lineRule="exact"/>
        <w:rPr>
          <w:sz w:val="20"/>
          <w:szCs w:val="20"/>
          <w:color w:val="auto"/>
        </w:rPr>
      </w:pPr>
    </w:p>
    <w:p>
      <w:pPr>
        <w:jc w:val="both"/>
        <w:spacing w:after="0" w:line="331" w:lineRule="auto"/>
        <w:rPr>
          <w:sz w:val="20"/>
          <w:szCs w:val="20"/>
          <w:color w:val="auto"/>
        </w:rPr>
      </w:pPr>
      <w:r>
        <w:rPr>
          <w:rFonts w:ascii="Arial" w:cs="Arial" w:eastAsia="Arial" w:hAnsi="Arial"/>
          <w:sz w:val="19"/>
          <w:szCs w:val="19"/>
          <w:b w:val="1"/>
          <w:bCs w:val="1"/>
          <w:i w:val="1"/>
          <w:iCs w:val="1"/>
          <w:color w:val="auto"/>
        </w:rPr>
        <w:t>Capitalised terms not otherwise defined in this global appendix document (the “Appendix”) have the meanings given in the rules of the GXO 2021 Omnibus Incentive Compensation Plan (the “Plan”) and the Award Agreement, as applicable. You are the “Participant” for the purposes of this document. In the event of any conflict between the terms of the Plan on the one hand and the terms of this Award Agreement or the Appendix on the other, the terms of the Plan shall govern.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21"/>
          <w:szCs w:val="21"/>
          <w:color w:val="auto"/>
        </w:rPr>
        <w:t>This Appendix includes special and/or additional terms and conditions that govern the RSUs granted to the Participant under the Plan if the Participant resides and/or works in one of the countries listed below. Part A including terms and conditions that apply to Participants in all jurisdictions, and Part B includes country-specific terms and conditions. These terms and conditions are in addition to or, if so indicated, in place of, the terms and conditions set forth in the Award Agreement. If the Participant is a citizen or resident of a country other than the one in which he or she is currently residing and/or working, transfers residency and/or employment to another country after the grant of the Award, or is considered resident of another country for local law purposes, the Committee shall, in its discretion, determine to what extent the terms and conditions contained herein shall be applicable to the Participant.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7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This Appendix also includes information regarding tax, securities law, exchange controls and certain other issues of which the Participant should be aware with respect to the Participant’s participation in the Plan. The information is based on the securities, exchange control and other laws in effect in the respective countries as of February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the information may be out of date at the time that the RSUs vest or Shares acquired under the Plan are sold.</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9"/>
          <w:szCs w:val="19"/>
          <w:color w:val="auto"/>
        </w:rPr>
        <w:t>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the Participant’s situation.</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Finally, if the Participant is a citizen or resident of a country other than the one in which he or she is currently residing and/or working, transfers residency and/or employment to another country after the grant of the Award, or is considered a resident of another country for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82" w:right="339" w:bottom="1440" w:gutter="0" w:footer="0" w:header="0"/>
        </w:sectPr>
      </w:pPr>
    </w:p>
    <w:bookmarkStart w:id="40" w:name="page41"/>
    <w:bookmarkEnd w:id="40"/>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purposes, the information contained herein may not be applicable to the Participant in the same manner.</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PROVISIONS APPLICABLE TO ALL EMPLOYEES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Participant acknowledges, accepts and agrees each of the following:</w:t>
      </w:r>
    </w:p>
    <w:p>
      <w:pPr>
        <w:spacing w:after="0" w:line="26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Adequate Information</w:t>
      </w:r>
    </w:p>
    <w:p>
      <w:pPr>
        <w:spacing w:after="0" w:line="206" w:lineRule="exact"/>
        <w:rPr>
          <w:rFonts w:ascii="Arial" w:cs="Arial" w:eastAsia="Arial" w:hAnsi="Arial"/>
          <w:sz w:val="22"/>
          <w:szCs w:val="22"/>
          <w:color w:val="auto"/>
        </w:rPr>
      </w:pPr>
    </w:p>
    <w:p>
      <w:pPr>
        <w:jc w:val="both"/>
        <w:ind w:left="520"/>
        <w:spacing w:after="0" w:line="286" w:lineRule="auto"/>
        <w:rPr>
          <w:rFonts w:ascii="Arial" w:cs="Arial" w:eastAsia="Arial" w:hAnsi="Arial"/>
          <w:sz w:val="22"/>
          <w:szCs w:val="22"/>
          <w:color w:val="auto"/>
        </w:rPr>
      </w:pPr>
      <w:r>
        <w:rPr>
          <w:rFonts w:ascii="Arial" w:cs="Arial" w:eastAsia="Arial" w:hAnsi="Arial"/>
          <w:sz w:val="22"/>
          <w:szCs w:val="22"/>
          <w:color w:val="auto"/>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spacing w:after="0" w:line="193" w:lineRule="exact"/>
        <w:rPr>
          <w:rFonts w:ascii="Arial" w:cs="Arial" w:eastAsia="Arial" w:hAnsi="Arial"/>
          <w:sz w:val="22"/>
          <w:szCs w:val="22"/>
          <w:color w:val="auto"/>
        </w:rPr>
      </w:pPr>
    </w:p>
    <w:p>
      <w:pPr>
        <w:ind w:left="500" w:hanging="492"/>
        <w:spacing w:after="0"/>
        <w:tabs>
          <w:tab w:leader="none" w:pos="5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Public Offer</w:t>
      </w:r>
    </w:p>
    <w:p>
      <w:pPr>
        <w:spacing w:after="0" w:line="206" w:lineRule="exact"/>
        <w:rPr>
          <w:rFonts w:ascii="Arial" w:cs="Arial" w:eastAsia="Arial" w:hAnsi="Arial"/>
          <w:sz w:val="22"/>
          <w:szCs w:val="22"/>
          <w:color w:val="auto"/>
        </w:rPr>
      </w:pPr>
    </w:p>
    <w:p>
      <w:pPr>
        <w:ind w:left="520" w:right="20"/>
        <w:spacing w:after="0" w:line="302" w:lineRule="auto"/>
        <w:rPr>
          <w:rFonts w:ascii="Arial" w:cs="Arial" w:eastAsia="Arial" w:hAnsi="Arial"/>
          <w:sz w:val="22"/>
          <w:szCs w:val="22"/>
          <w:color w:val="auto"/>
        </w:rPr>
      </w:pPr>
      <w:r>
        <w:rPr>
          <w:rFonts w:ascii="Arial" w:cs="Arial" w:eastAsia="Arial" w:hAnsi="Arial"/>
          <w:sz w:val="22"/>
          <w:szCs w:val="22"/>
          <w:color w:val="auto"/>
        </w:rPr>
        <w:t>That the grant of an Award is strictly private and personal to the Participant and rights under the Plan may not be transferred, disposed of or assigned unless expressly confirmed by GXO in writing.</w:t>
      </w:r>
    </w:p>
    <w:p>
      <w:pPr>
        <w:spacing w:after="0" w:line="105" w:lineRule="exact"/>
        <w:rPr>
          <w:rFonts w:ascii="Arial" w:cs="Arial" w:eastAsia="Arial" w:hAnsi="Arial"/>
          <w:sz w:val="22"/>
          <w:szCs w:val="22"/>
          <w:color w:val="auto"/>
        </w:rPr>
      </w:pPr>
    </w:p>
    <w:p>
      <w:pPr>
        <w:jc w:val="both"/>
        <w:ind w:left="520"/>
        <w:spacing w:after="0" w:line="303" w:lineRule="auto"/>
        <w:rPr>
          <w:rFonts w:ascii="Arial" w:cs="Arial" w:eastAsia="Arial" w:hAnsi="Arial"/>
          <w:sz w:val="22"/>
          <w:szCs w:val="22"/>
          <w:color w:val="auto"/>
        </w:rPr>
      </w:pPr>
      <w:r>
        <w:rPr>
          <w:rFonts w:ascii="Arial" w:cs="Arial" w:eastAsia="Arial" w:hAnsi="Arial"/>
          <w:sz w:val="21"/>
          <w:szCs w:val="21"/>
          <w:color w:val="auto"/>
        </w:rPr>
        <w:t>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GXO’s express written consent.</w:t>
      </w:r>
    </w:p>
    <w:p>
      <w:pPr>
        <w:spacing w:after="0" w:line="95" w:lineRule="exact"/>
        <w:rPr>
          <w:rFonts w:ascii="Arial" w:cs="Arial" w:eastAsia="Arial" w:hAnsi="Arial"/>
          <w:sz w:val="22"/>
          <w:szCs w:val="22"/>
          <w:color w:val="auto"/>
        </w:rPr>
      </w:pPr>
    </w:p>
    <w:p>
      <w:pPr>
        <w:ind w:left="500" w:hanging="492"/>
        <w:spacing w:after="0"/>
        <w:tabs>
          <w:tab w:leader="none" w:pos="500" w:val="left"/>
        </w:tabs>
        <w:numPr>
          <w:ilvl w:val="0"/>
          <w:numId w:val="20"/>
        </w:numPr>
        <w:rPr>
          <w:rFonts w:ascii="Arial" w:cs="Arial" w:eastAsia="Arial" w:hAnsi="Arial"/>
          <w:sz w:val="20"/>
          <w:szCs w:val="20"/>
          <w:color w:val="auto"/>
        </w:rPr>
      </w:pPr>
      <w:r>
        <w:rPr>
          <w:rFonts w:ascii="Arial" w:cs="Arial" w:eastAsia="Arial" w:hAnsi="Arial"/>
          <w:sz w:val="22"/>
          <w:szCs w:val="22"/>
          <w:u w:val="single" w:color="auto"/>
          <w:color w:val="auto"/>
        </w:rPr>
        <w:t>Tax Obligations</w:t>
      </w:r>
    </w:p>
    <w:p>
      <w:pPr>
        <w:spacing w:after="0" w:line="192" w:lineRule="exact"/>
        <w:rPr>
          <w:rFonts w:ascii="Arial" w:cs="Arial" w:eastAsia="Arial" w:hAnsi="Arial"/>
          <w:sz w:val="20"/>
          <w:szCs w:val="20"/>
          <w:color w:val="auto"/>
        </w:rPr>
      </w:pPr>
    </w:p>
    <w:p>
      <w:pPr>
        <w:jc w:val="both"/>
        <w:ind w:left="520"/>
        <w:spacing w:after="0" w:line="286" w:lineRule="auto"/>
        <w:rPr>
          <w:rFonts w:ascii="Arial" w:cs="Arial" w:eastAsia="Arial" w:hAnsi="Arial"/>
          <w:sz w:val="20"/>
          <w:szCs w:val="20"/>
          <w:color w:val="auto"/>
        </w:rPr>
      </w:pPr>
      <w:r>
        <w:rPr>
          <w:rFonts w:ascii="Arial" w:cs="Arial" w:eastAsia="Arial" w:hAnsi="Arial"/>
          <w:sz w:val="22"/>
          <w:szCs w:val="22"/>
          <w:color w:val="auto"/>
        </w:rPr>
        <w:t>That the Company may withhold or account for Tax-Related Items by considering statutory or other withholding rates, including minimum or maximum rates applicable in the Participant's jurisdiction(s). If the obligation for Tax-Related Items is satisfied by withholding in Shares, for tax purposes, you will be deemed to have been issued the full number of Shares subject to the vested RSUs, notwithstanding that a number of the Shares is held back solely for the purpose of paying the Tax-Related Items.</w:t>
      </w:r>
    </w:p>
    <w:p>
      <w:pPr>
        <w:spacing w:after="0" w:line="193" w:lineRule="exact"/>
        <w:rPr>
          <w:rFonts w:ascii="Arial" w:cs="Arial" w:eastAsia="Arial" w:hAnsi="Arial"/>
          <w:sz w:val="20"/>
          <w:szCs w:val="20"/>
          <w:color w:val="auto"/>
        </w:rPr>
      </w:pPr>
    </w:p>
    <w:p>
      <w:pPr>
        <w:ind w:left="500" w:hanging="492"/>
        <w:spacing w:after="0"/>
        <w:tabs>
          <w:tab w:leader="none" w:pos="5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Independent Advice Recommended</w:t>
      </w:r>
    </w:p>
    <w:p>
      <w:pPr>
        <w:spacing w:after="0" w:line="206" w:lineRule="exact"/>
        <w:rPr>
          <w:rFonts w:ascii="Arial" w:cs="Arial" w:eastAsia="Arial" w:hAnsi="Arial"/>
          <w:sz w:val="22"/>
          <w:szCs w:val="22"/>
          <w:color w:val="auto"/>
        </w:rPr>
      </w:pPr>
    </w:p>
    <w:p>
      <w:pPr>
        <w:ind w:left="520"/>
        <w:spacing w:after="0" w:line="302" w:lineRule="auto"/>
        <w:rPr>
          <w:rFonts w:ascii="Arial" w:cs="Arial" w:eastAsia="Arial" w:hAnsi="Arial"/>
          <w:sz w:val="22"/>
          <w:szCs w:val="22"/>
          <w:color w:val="auto"/>
        </w:rPr>
      </w:pPr>
      <w:r>
        <w:rPr>
          <w:rFonts w:ascii="Arial" w:cs="Arial" w:eastAsia="Arial" w:hAnsi="Arial"/>
          <w:sz w:val="22"/>
          <w:szCs w:val="22"/>
          <w:color w:val="auto"/>
        </w:rPr>
        <w:t>That the information provided by GXO, the Participant’s employer nor any person or entity acting on their behalf, including its service providers, in respect of the Plan,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0" w:lineRule="exact"/>
        <w:rPr>
          <w:sz w:val="20"/>
          <w:szCs w:val="20"/>
          <w:color w:val="auto"/>
        </w:rPr>
      </w:pPr>
    </w:p>
    <w:p>
      <w:pPr>
        <w:jc w:val="both"/>
        <w:ind w:left="520"/>
        <w:spacing w:after="0" w:line="356" w:lineRule="auto"/>
        <w:rPr>
          <w:sz w:val="20"/>
          <w:szCs w:val="20"/>
          <w:color w:val="auto"/>
        </w:rPr>
      </w:pPr>
      <w:r>
        <w:rPr>
          <w:rFonts w:ascii="Arial" w:cs="Arial" w:eastAsia="Arial" w:hAnsi="Arial"/>
          <w:sz w:val="19"/>
          <w:szCs w:val="19"/>
          <w:color w:val="auto"/>
        </w:rPr>
        <w:t>benefit program offered by GXO,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spacing w:after="0" w:line="54"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 xml:space="preserve">That neither the Participant’s employer nor any person or entity acting on behalf of the Participant’s employer has provided the Participant with financial advice with respect to the Award or the shares acquired upon settlement of the Award and the Participant is not guaranteed a specified level of return on the Award or the shares. If an Award is related to any GXO shares there is a risk that they may fall as well as rise in value. More information in relation to GXO, including the share price, can be found at </w:t>
      </w:r>
      <w:r>
        <w:rPr>
          <w:rFonts w:ascii="Arial" w:cs="Arial" w:eastAsia="Arial" w:hAnsi="Arial"/>
          <w:sz w:val="22"/>
          <w:szCs w:val="22"/>
          <w:u w:val="single" w:color="auto"/>
          <w:color w:val="0000FF"/>
        </w:rPr>
        <w:t>https://www.GXO.com/</w:t>
      </w:r>
      <w:r>
        <w:rPr>
          <w:rFonts w:ascii="Arial" w:cs="Arial" w:eastAsia="Arial" w:hAnsi="Arial"/>
          <w:sz w:val="22"/>
          <w:szCs w:val="22"/>
          <w:color w:val="auto"/>
        </w:rPr>
        <w:t>.</w:t>
      </w:r>
    </w:p>
    <w:p>
      <w:pPr>
        <w:spacing w:after="0" w:line="19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Exchange Control, Reporting Requirements and Resale Obligations</w:t>
      </w:r>
    </w:p>
    <w:p>
      <w:pPr>
        <w:spacing w:after="0" w:line="206" w:lineRule="exact"/>
        <w:rPr>
          <w:rFonts w:ascii="Arial" w:cs="Arial" w:eastAsia="Arial" w:hAnsi="Arial"/>
          <w:sz w:val="22"/>
          <w:szCs w:val="22"/>
          <w:color w:val="auto"/>
        </w:rPr>
      </w:pPr>
    </w:p>
    <w:p>
      <w:pPr>
        <w:jc w:val="both"/>
        <w:ind w:left="520"/>
        <w:spacing w:after="0" w:line="303" w:lineRule="auto"/>
        <w:rPr>
          <w:rFonts w:ascii="Arial" w:cs="Arial" w:eastAsia="Arial" w:hAnsi="Arial"/>
          <w:sz w:val="22"/>
          <w:szCs w:val="22"/>
          <w:color w:val="auto"/>
        </w:rPr>
      </w:pPr>
      <w:r>
        <w:rPr>
          <w:rFonts w:ascii="Arial" w:cs="Arial" w:eastAsia="Arial" w:hAnsi="Arial"/>
          <w:sz w:val="21"/>
          <w:szCs w:val="21"/>
          <w:color w:val="auto"/>
        </w:rPr>
        <w:t>That, under local exchange or currency controls, the Participant will be solely responsible for complying with any notification, approval and/or repatriation obligations which apply with respect to an Award and neither GXO nor the Participant’s employer will be responsible on their behalf. GXO accepts no responsibility for the Participant’s failure to comply, or delay in complying with, such requirements. Participants should seek independent professional advice if Participants are unsure about obligations as a result of participation in the Plan.</w:t>
      </w:r>
    </w:p>
    <w:p>
      <w:pPr>
        <w:spacing w:after="0" w:line="109" w:lineRule="exact"/>
        <w:rPr>
          <w:rFonts w:ascii="Arial" w:cs="Arial" w:eastAsia="Arial" w:hAnsi="Arial"/>
          <w:sz w:val="22"/>
          <w:szCs w:val="22"/>
          <w:color w:val="auto"/>
        </w:rPr>
      </w:pPr>
    </w:p>
    <w:p>
      <w:pPr>
        <w:jc w:val="both"/>
        <w:ind w:left="520"/>
        <w:spacing w:after="0" w:line="285" w:lineRule="auto"/>
        <w:rPr>
          <w:rFonts w:ascii="Arial" w:cs="Arial" w:eastAsia="Arial" w:hAnsi="Arial"/>
          <w:sz w:val="22"/>
          <w:szCs w:val="22"/>
          <w:color w:val="auto"/>
        </w:rPr>
      </w:pPr>
      <w:r>
        <w:rPr>
          <w:rFonts w:ascii="Arial" w:cs="Arial" w:eastAsia="Arial" w:hAnsi="Arial"/>
          <w:sz w:val="22"/>
          <w:szCs w:val="22"/>
          <w:color w:val="auto"/>
        </w:rPr>
        <w:t>That among other things, such obligations may affect the Participant’s ability to hold foreign shares, bring shares into the Participant’s jurisdiction, reinvest dividends, and receive dividends, share sale proceeds and other payments in a local or foreign account. The Participant may further be subject to local securities law and/or exchange control restrictions on the transfer and resale of shares. The Participant is responsible for ensuring compliance with any individual obligations that may apply to the Participant in connection with the Plan and GXO recommends that the Participant obtain independent legal advice in this regard.</w:t>
      </w:r>
    </w:p>
    <w:p>
      <w:pPr>
        <w:spacing w:after="0" w:line="195" w:lineRule="exact"/>
        <w:rPr>
          <w:rFonts w:ascii="Arial" w:cs="Arial" w:eastAsia="Arial" w:hAnsi="Arial"/>
          <w:sz w:val="22"/>
          <w:szCs w:val="22"/>
          <w:color w:val="auto"/>
        </w:rPr>
      </w:pPr>
    </w:p>
    <w:p>
      <w:pPr>
        <w:ind w:left="500" w:hanging="492"/>
        <w:spacing w:after="0"/>
        <w:tabs>
          <w:tab w:leader="none" w:pos="50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Data Protection Privacy Notice</w:t>
      </w:r>
    </w:p>
    <w:p>
      <w:pPr>
        <w:spacing w:after="0" w:line="206" w:lineRule="exact"/>
        <w:rPr>
          <w:rFonts w:ascii="Arial" w:cs="Arial" w:eastAsia="Arial" w:hAnsi="Arial"/>
          <w:sz w:val="22"/>
          <w:szCs w:val="22"/>
          <w:color w:val="auto"/>
        </w:rPr>
      </w:pPr>
    </w:p>
    <w:p>
      <w:pPr>
        <w:jc w:val="both"/>
        <w:ind w:left="520"/>
        <w:spacing w:after="0" w:line="356" w:lineRule="auto"/>
        <w:rPr>
          <w:rFonts w:ascii="Arial" w:cs="Arial" w:eastAsia="Arial" w:hAnsi="Arial"/>
          <w:sz w:val="22"/>
          <w:szCs w:val="22"/>
          <w:color w:val="auto"/>
        </w:rPr>
      </w:pPr>
      <w:r>
        <w:rPr>
          <w:rFonts w:ascii="Arial" w:cs="Arial" w:eastAsia="Arial" w:hAnsi="Arial"/>
          <w:sz w:val="19"/>
          <w:szCs w:val="19"/>
          <w:color w:val="auto"/>
        </w:rPr>
        <w:t>That, if the Participant is located inside of the EEA, any data protection policy (or policies) of GXO or any Group Member and/or data privacy notice(s) that are applicable to the Participant will apply to the processing of the Participant’s personal data. The GXO Employee Data Protection Privacy Notice can be found on myGXO.GXO.com under Career/Policies.</w:t>
      </w:r>
    </w:p>
    <w:p>
      <w:pPr>
        <w:spacing w:after="0" w:line="67" w:lineRule="exact"/>
        <w:rPr>
          <w:rFonts w:ascii="Arial" w:cs="Arial" w:eastAsia="Arial" w:hAnsi="Arial"/>
          <w:sz w:val="22"/>
          <w:szCs w:val="22"/>
          <w:color w:val="auto"/>
        </w:rPr>
      </w:pPr>
    </w:p>
    <w:p>
      <w:pPr>
        <w:ind w:left="520" w:right="20"/>
        <w:spacing w:after="0" w:line="302" w:lineRule="auto"/>
        <w:rPr>
          <w:rFonts w:ascii="Arial" w:cs="Arial" w:eastAsia="Arial" w:hAnsi="Arial"/>
          <w:sz w:val="22"/>
          <w:szCs w:val="22"/>
          <w:color w:val="auto"/>
        </w:rPr>
      </w:pPr>
      <w:r>
        <w:rPr>
          <w:rFonts w:ascii="Arial" w:cs="Arial" w:eastAsia="Arial" w:hAnsi="Arial"/>
          <w:sz w:val="22"/>
          <w:szCs w:val="22"/>
          <w:color w:val="auto"/>
        </w:rPr>
        <w:t>That, if the Participant is located outside of the EEA, the processing of the Participant’s Data may be governed by local and/or other international laws, as well as the General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0"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Protection Regulation (GDPR) as mentioned in the GXO Employee Privacy Notice. By participating in one of the GXO’s share plans, the Participant is deemed to consent to the processing of the Participant’s personal data, in accordance with any data protection policy (or policies) of GXO or any Group Member and/or data privacy notice(s) that are applicable to the Participant. The GXO Employee Data Protection Privacy Notice can be found on myGXO.GXO.com under Career/Policies.</w:t>
      </w:r>
    </w:p>
    <w:p>
      <w:pPr>
        <w:spacing w:after="0" w:line="19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Insider Trading/Market Abuse Laws</w:t>
      </w:r>
    </w:p>
    <w:p>
      <w:pPr>
        <w:spacing w:after="0" w:line="260" w:lineRule="exact"/>
        <w:rPr>
          <w:rFonts w:ascii="Arial" w:cs="Arial" w:eastAsia="Arial" w:hAnsi="Arial"/>
          <w:sz w:val="22"/>
          <w:szCs w:val="22"/>
          <w:color w:val="auto"/>
        </w:rPr>
      </w:pPr>
    </w:p>
    <w:p>
      <w:pPr>
        <w:jc w:val="both"/>
        <w:ind w:left="520"/>
        <w:spacing w:after="0" w:line="332" w:lineRule="auto"/>
        <w:rPr>
          <w:rFonts w:ascii="Arial" w:cs="Arial" w:eastAsia="Arial" w:hAnsi="Arial"/>
          <w:sz w:val="22"/>
          <w:szCs w:val="22"/>
          <w:color w:val="auto"/>
        </w:rPr>
      </w:pPr>
      <w:r>
        <w:rPr>
          <w:rFonts w:ascii="Arial" w:cs="Arial" w:eastAsia="Arial" w:hAnsi="Arial"/>
          <w:sz w:val="19"/>
          <w:szCs w:val="19"/>
          <w:color w:val="auto"/>
        </w:rPr>
        <w:t>That the Participant may be subject to insider trading restrictions and/or market abuse laws in applicable jurisdictions, which may affect the Participant’s ability to directly or indirectly, accept, acquire, sell or attempt to sell or otherwise dispose of Shares or rights to the Shares, or rights linked to the value of Shares during such times as the Participant is considered to have “inside information” regarding the Company (as defined by the laws and/or regulations in applicable jurisdictions or the Participant’s country). Local insider trading laws and regulations may prohibit the cancellation or amendment of orders placed by the Participant before possessing the inside information. Furthermore, the Participant may be prohibited from (a) disclosing inside information to any third party, including fellow employees (other than on a “need to know” basis) and (b) “tipping” third parties or otherwise inducing them to buy or sell securities.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spacing w:after="0" w:line="158" w:lineRule="exact"/>
        <w:rPr>
          <w:rFonts w:ascii="Arial" w:cs="Arial" w:eastAsia="Arial" w:hAnsi="Arial"/>
          <w:sz w:val="22"/>
          <w:szCs w:val="22"/>
          <w:color w:val="auto"/>
        </w:rPr>
      </w:pPr>
    </w:p>
    <w:p>
      <w:pPr>
        <w:ind w:left="500" w:hanging="492"/>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Language</w:t>
      </w:r>
    </w:p>
    <w:p>
      <w:pPr>
        <w:spacing w:after="0" w:line="260" w:lineRule="exact"/>
        <w:rPr>
          <w:sz w:val="20"/>
          <w:szCs w:val="20"/>
          <w:color w:val="auto"/>
        </w:rPr>
      </w:pPr>
    </w:p>
    <w:p>
      <w:pPr>
        <w:jc w:val="both"/>
        <w:ind w:left="520"/>
        <w:spacing w:after="0" w:line="288" w:lineRule="auto"/>
        <w:rPr>
          <w:sz w:val="20"/>
          <w:szCs w:val="20"/>
          <w:color w:val="auto"/>
        </w:rPr>
      </w:pPr>
      <w:r>
        <w:rPr>
          <w:rFonts w:ascii="Arial" w:cs="Arial" w:eastAsia="Arial" w:hAnsi="Arial"/>
          <w:sz w:val="22"/>
          <w:szCs w:val="22"/>
          <w:color w:val="auto"/>
        </w:rPr>
        <w:t>That the Participant is sufficiently proficient in English to understand the terms and conditions of this Award Agreement. Furthermore, if the Participant has received this Award Agreement, or any other document related to the Award and/or the Plan translated into a language other than English and if the meaning of the translated version is different from the English version, the English version will control.</w:t>
      </w:r>
    </w:p>
    <w:p>
      <w:pPr>
        <w:spacing w:after="0" w:line="130"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APPLICABLE TO EMPLOYEES IN PARTICULAR JURISDICTIONS</w:t>
      </w:r>
    </w:p>
    <w:p>
      <w:pPr>
        <w:spacing w:after="0" w:line="274"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Belgium</w:t>
      </w:r>
    </w:p>
    <w:p>
      <w:pPr>
        <w:spacing w:after="0" w:line="266" w:lineRule="exact"/>
        <w:rPr>
          <w:sz w:val="20"/>
          <w:szCs w:val="20"/>
          <w:color w:val="auto"/>
        </w:rPr>
      </w:pPr>
    </w:p>
    <w:p>
      <w:pPr>
        <w:ind w:left="520" w:hanging="509"/>
        <w:spacing w:after="0" w:line="302" w:lineRule="auto"/>
        <w:tabs>
          <w:tab w:leader="none" w:pos="5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22"/>
          <w:szCs w:val="22"/>
          <w:u w:val="single" w:color="auto"/>
          <w:color w:val="auto"/>
        </w:rPr>
        <w:t>Foreign Asset / Account Reporting</w:t>
      </w:r>
      <w:r>
        <w:rPr>
          <w:rFonts w:ascii="Arial" w:cs="Arial" w:eastAsia="Arial" w:hAnsi="Arial"/>
          <w:sz w:val="22"/>
          <w:szCs w:val="22"/>
          <w:color w:val="auto"/>
        </w:rPr>
        <w:t>. Belgian residents are required to report any securities held (including Shares) or bank</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accounts opened outside Belgium (</w:t>
      </w:r>
      <w:r>
        <w:rPr>
          <w:rFonts w:ascii="Arial" w:cs="Arial" w:eastAsia="Arial" w:hAnsi="Arial"/>
          <w:sz w:val="22"/>
          <w:szCs w:val="22"/>
          <w:i w:val="1"/>
          <w:iCs w:val="1"/>
          <w:color w:val="auto"/>
        </w:rPr>
        <w:t>e.g.</w:t>
      </w:r>
      <w:r>
        <w:rPr>
          <w:rFonts w:ascii="Arial" w:cs="Arial" w:eastAsia="Arial" w:hAnsi="Arial"/>
          <w:sz w:val="22"/>
          <w:szCs w:val="22"/>
          <w:color w:val="auto"/>
        </w:rPr>
        <w:t>, any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18"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color w:val="auto"/>
        </w:rPr>
        <w:t xml:space="preserve">account opened in connection with the Plan) in their annual tax return. Furthermore, Belgian residents will also be required to provide a central contact point of the National Bank of Belgium with the account number of those foreign bank accounts, the name of the bank with which the accounts were opened and the country in which they were opened in a separate report. This report, as well as additional information on how to complete it, can be found on the website of the National Bank of Belgium, </w:t>
      </w:r>
      <w:r>
        <w:rPr>
          <w:rFonts w:ascii="Arial" w:cs="Arial" w:eastAsia="Arial" w:hAnsi="Arial"/>
          <w:sz w:val="19"/>
          <w:szCs w:val="19"/>
          <w:u w:val="single" w:color="auto"/>
          <w:color w:val="0000FF"/>
        </w:rPr>
        <w:t>www.nbb.be</w:t>
      </w:r>
      <w:r>
        <w:rPr>
          <w:rFonts w:ascii="Arial" w:cs="Arial" w:eastAsia="Arial" w:hAnsi="Arial"/>
          <w:sz w:val="19"/>
          <w:szCs w:val="19"/>
          <w:color w:val="auto"/>
        </w:rPr>
        <w:t xml:space="preserve">, under the </w:t>
      </w:r>
      <w:r>
        <w:rPr>
          <w:rFonts w:ascii="Arial" w:cs="Arial" w:eastAsia="Arial" w:hAnsi="Arial"/>
          <w:sz w:val="19"/>
          <w:szCs w:val="19"/>
          <w:i w:val="1"/>
          <w:iCs w:val="1"/>
          <w:color w:val="auto"/>
        </w:rPr>
        <w:t>Kredietcentrales / Centrales des credits</w:t>
      </w:r>
      <w:r>
        <w:rPr>
          <w:rFonts w:ascii="Arial" w:cs="Arial" w:eastAsia="Arial" w:hAnsi="Arial"/>
          <w:sz w:val="19"/>
          <w:szCs w:val="19"/>
          <w:color w:val="auto"/>
        </w:rPr>
        <w:t xml:space="preserve"> caption.</w:t>
      </w:r>
    </w:p>
    <w:p>
      <w:pPr>
        <w:spacing w:after="0" w:line="149" w:lineRule="exact"/>
        <w:rPr>
          <w:sz w:val="20"/>
          <w:szCs w:val="20"/>
          <w:color w:val="auto"/>
        </w:rPr>
      </w:pPr>
    </w:p>
    <w:p>
      <w:pPr>
        <w:jc w:val="both"/>
        <w:ind w:left="520" w:hanging="509"/>
        <w:spacing w:after="0" w:line="341" w:lineRule="auto"/>
        <w:tabs>
          <w:tab w:leader="none" w:pos="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9"/>
          <w:szCs w:val="19"/>
          <w:u w:val="single" w:color="auto"/>
          <w:color w:val="auto"/>
        </w:rPr>
        <w:t>Annual Securities Account Tax</w:t>
      </w:r>
      <w:r>
        <w:rPr>
          <w:rFonts w:ascii="Arial" w:cs="Arial" w:eastAsia="Arial" w:hAnsi="Arial"/>
          <w:sz w:val="19"/>
          <w:szCs w:val="19"/>
          <w:color w:val="auto"/>
        </w:rPr>
        <w:t>. An annual securities tax may be payable if the total value of securities held in a Belgian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foreign securities account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exceeds a certain threshold on four reference dates within the relevant reporting period (</w:t>
      </w:r>
      <w:r>
        <w:rPr>
          <w:rFonts w:ascii="Arial" w:cs="Arial" w:eastAsia="Arial" w:hAnsi="Arial"/>
          <w:sz w:val="19"/>
          <w:szCs w:val="19"/>
          <w:i w:val="1"/>
          <w:iCs w:val="1"/>
          <w:color w:val="auto"/>
        </w:rPr>
        <w:t>i.e.</w:t>
      </w:r>
      <w:r>
        <w:rPr>
          <w:rFonts w:ascii="Arial" w:cs="Arial" w:eastAsia="Arial" w:hAnsi="Arial"/>
          <w:sz w:val="19"/>
          <w:szCs w:val="19"/>
          <w:color w:val="auto"/>
        </w:rPr>
        <w:t xml:space="preserve">, December 31, March 31, June 30, and September 30). In such case, the tax will be due on the value of the qualifying securities held in such account. The </w:t>
      </w:r>
      <w:r>
        <w:rPr>
          <w:rFonts w:ascii="Arial" w:cs="Arial" w:eastAsia="Arial" w:hAnsi="Arial"/>
          <w:sz w:val="19"/>
          <w:szCs w:val="19"/>
          <w:i w:val="1"/>
          <w:iCs w:val="1"/>
          <w:color w:val="auto"/>
        </w:rPr>
        <w:t>Participant should consult with a personal tax or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advisor for additional details on the Participant's obligations with respect to the annual securities tax.</w:t>
      </w:r>
    </w:p>
    <w:p>
      <w:pPr>
        <w:spacing w:after="0" w:line="14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Canada</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9"/>
          <w:szCs w:val="19"/>
          <w:u w:val="single" w:color="auto"/>
          <w:color w:val="auto"/>
        </w:rPr>
        <w:t>English language</w:t>
      </w:r>
    </w:p>
    <w:p>
      <w:pPr>
        <w:spacing w:after="0" w:line="227"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By accepting the Award, the Participant acknowledges that the Participant has expressly requested that all documents evidencing or relating in any way to the grant of the Award (including, for greater certainty, any confirmation or any notice) will be in the English language only.</w:t>
      </w:r>
    </w:p>
    <w:p>
      <w:pPr>
        <w:spacing w:after="0" w:line="106" w:lineRule="exact"/>
        <w:rPr>
          <w:sz w:val="20"/>
          <w:szCs w:val="20"/>
          <w:color w:val="auto"/>
        </w:rPr>
      </w:pPr>
    </w:p>
    <w:p>
      <w:pPr>
        <w:jc w:val="both"/>
        <w:ind w:left="520"/>
        <w:spacing w:after="0" w:line="311" w:lineRule="auto"/>
        <w:rPr>
          <w:sz w:val="20"/>
          <w:szCs w:val="20"/>
          <w:color w:val="auto"/>
        </w:rPr>
      </w:pPr>
      <w:r>
        <w:rPr>
          <w:rFonts w:ascii="Arial" w:cs="Arial" w:eastAsia="Arial" w:hAnsi="Arial"/>
          <w:sz w:val="21"/>
          <w:szCs w:val="21"/>
          <w:i w:val="1"/>
          <w:iCs w:val="1"/>
          <w:color w:val="auto"/>
        </w:rPr>
        <w:t>Si vous êtes résident de Québec, vous reconnaissez, en acceptant l'allocation effectuée à votre profit, avoir expressément exigé que tous les documents relatifs à cette allocation ou s'y rapportant de quelque manière que ce soit (incluant, pour plus de certitude, toute confirmation ou tout avis) soient rédigés en anglais uniquement.</w:t>
      </w:r>
    </w:p>
    <w:p>
      <w:pPr>
        <w:spacing w:after="0" w:line="10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9"/>
          <w:szCs w:val="19"/>
          <w:u w:val="single" w:color="auto"/>
          <w:color w:val="auto"/>
        </w:rPr>
        <w:t>Securities laws</w:t>
      </w:r>
    </w:p>
    <w:p>
      <w:pPr>
        <w:spacing w:after="0" w:line="227" w:lineRule="exact"/>
        <w:rPr>
          <w:sz w:val="20"/>
          <w:szCs w:val="20"/>
          <w:color w:val="auto"/>
        </w:rPr>
      </w:pPr>
    </w:p>
    <w:p>
      <w:pPr>
        <w:jc w:val="both"/>
        <w:ind w:left="520"/>
        <w:spacing w:after="0" w:line="306" w:lineRule="auto"/>
        <w:rPr>
          <w:sz w:val="20"/>
          <w:szCs w:val="20"/>
          <w:color w:val="auto"/>
        </w:rPr>
      </w:pPr>
      <w:r>
        <w:rPr>
          <w:rFonts w:ascii="Arial" w:cs="Arial" w:eastAsia="Arial" w:hAnsi="Arial"/>
          <w:sz w:val="21"/>
          <w:szCs w:val="21"/>
          <w:color w:val="auto"/>
        </w:rPr>
        <w:t>In addition to any restrictions on resale and transfer noted in the Plan documents, Shares acquired pursuant to the Plan will be subject to certain restrictions on resale imposed by Canadian provincial securities laws (in general, participants in the offering who are resident in Canada may not resell their Shares to Canadian purchasers). Accordingly, prospective participants are encouraged to seek legal advice prior to any resale of such Shares.</w:t>
      </w:r>
    </w:p>
    <w:p>
      <w:pPr>
        <w:spacing w:after="0" w:line="91"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By accepting the Award, the Participant represents and warrants to GXO that their participation in the Plan is voluntary and that they have not been induced to participate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0"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expectation of engagement, appointment, employment, continued engagement, continued appointment or continued employment, as applicable.</w:t>
      </w:r>
    </w:p>
    <w:p>
      <w:pPr>
        <w:spacing w:after="0" w:line="9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9"/>
          <w:szCs w:val="19"/>
          <w:u w:val="single" w:color="auto"/>
          <w:color w:val="auto"/>
        </w:rPr>
        <w:t>Settlement in Shares Only</w:t>
      </w:r>
    </w:p>
    <w:p>
      <w:pPr>
        <w:spacing w:after="0" w:line="241"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Notwithstanding any term in the Plan or the particular Award Agreement, an Award received by a Canadian resident Participant shall only be settled in Shares, and not in cash or any other property.</w:t>
      </w:r>
    </w:p>
    <w:p>
      <w:pPr>
        <w:spacing w:after="0" w:line="1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9"/>
          <w:szCs w:val="19"/>
          <w:u w:val="single" w:color="auto"/>
          <w:color w:val="auto"/>
        </w:rPr>
        <w:t>Termination of Employment</w:t>
      </w:r>
    </w:p>
    <w:p>
      <w:pPr>
        <w:spacing w:after="0" w:line="227" w:lineRule="exact"/>
        <w:rPr>
          <w:sz w:val="20"/>
          <w:szCs w:val="20"/>
          <w:color w:val="auto"/>
        </w:rPr>
      </w:pPr>
    </w:p>
    <w:p>
      <w:pPr>
        <w:jc w:val="both"/>
        <w:ind w:left="1280" w:hanging="765"/>
        <w:spacing w:after="0" w:line="356" w:lineRule="auto"/>
        <w:tabs>
          <w:tab w:leader="none" w:pos="12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9"/>
          <w:szCs w:val="19"/>
          <w:color w:val="auto"/>
        </w:rPr>
        <w:t>By accepting the Award, the Participant acknowledges that the Participant has read and understood Section 3(b) (“Termination of Employment”) in the Award Agreement and that if the Participant's employment is terminated, in certain circumstances the RSUs may be forfeited (for example, where the employment is terminated for cause).</w:t>
      </w:r>
    </w:p>
    <w:p>
      <w:pPr>
        <w:spacing w:after="0" w:line="67"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9"/>
          <w:szCs w:val="19"/>
          <w:color w:val="auto"/>
        </w:rPr>
        <w:t>The following provision replaces the first sentence of Section 3(b) of the Award Agreement:</w:t>
      </w:r>
    </w:p>
    <w:p>
      <w:pPr>
        <w:spacing w:after="0" w:line="214" w:lineRule="exact"/>
        <w:rPr>
          <w:sz w:val="20"/>
          <w:szCs w:val="20"/>
          <w:color w:val="auto"/>
        </w:rPr>
      </w:pPr>
    </w:p>
    <w:p>
      <w:pPr>
        <w:jc w:val="both"/>
        <w:ind w:left="1280"/>
        <w:spacing w:after="0" w:line="356" w:lineRule="auto"/>
        <w:rPr>
          <w:sz w:val="20"/>
          <w:szCs w:val="20"/>
          <w:color w:val="auto"/>
        </w:rPr>
      </w:pPr>
      <w:r>
        <w:rPr>
          <w:rFonts w:ascii="Arial" w:cs="Arial" w:eastAsia="Arial" w:hAnsi="Arial"/>
          <w:sz w:val="19"/>
          <w:szCs w:val="19"/>
          <w:color w:val="auto"/>
        </w:rPr>
        <w:t>For purposes of the RSUs, the Participant’s termination of employment occurs and, unless otherwise expressly provided in this Award Agreement or otherwise determined by the Company, the Participant’s right to vest in any portion of the RSUs under the Plan, if any, will terminate, as of the date that is the earliest of:</w:t>
      </w:r>
    </w:p>
    <w:p>
      <w:pPr>
        <w:spacing w:after="0" w:line="67" w:lineRule="exact"/>
        <w:rPr>
          <w:sz w:val="20"/>
          <w:szCs w:val="20"/>
          <w:color w:val="auto"/>
        </w:rPr>
      </w:pPr>
    </w:p>
    <w:p>
      <w:pPr>
        <w:ind w:left="1560" w:hanging="256"/>
        <w:spacing w:after="0"/>
        <w:tabs>
          <w:tab w:leader="none" w:pos="1560"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date on which the Participant’s employment or service to the Company or any Affiliate is terminated,</w:t>
      </w:r>
    </w:p>
    <w:p>
      <w:pPr>
        <w:spacing w:after="0" w:line="204" w:lineRule="exact"/>
        <w:rPr>
          <w:rFonts w:ascii="Arial" w:cs="Arial" w:eastAsia="Arial" w:hAnsi="Arial"/>
          <w:sz w:val="21"/>
          <w:szCs w:val="21"/>
          <w:color w:val="auto"/>
        </w:rPr>
      </w:pPr>
    </w:p>
    <w:p>
      <w:pPr>
        <w:ind w:left="1620" w:hanging="316"/>
        <w:spacing w:after="0"/>
        <w:tabs>
          <w:tab w:leader="none" w:pos="1620"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date the Participant receives written notice of termination from the Company or the Employer, or</w:t>
      </w:r>
    </w:p>
    <w:p>
      <w:pPr>
        <w:spacing w:after="0" w:line="190" w:lineRule="exact"/>
        <w:rPr>
          <w:rFonts w:ascii="Arial" w:cs="Arial" w:eastAsia="Arial" w:hAnsi="Arial"/>
          <w:sz w:val="21"/>
          <w:szCs w:val="21"/>
          <w:color w:val="auto"/>
        </w:rPr>
      </w:pPr>
    </w:p>
    <w:p>
      <w:pPr>
        <w:jc w:val="both"/>
        <w:ind w:left="1280" w:firstLine="4"/>
        <w:spacing w:after="0" w:line="338" w:lineRule="auto"/>
        <w:tabs>
          <w:tab w:leader="none" w:pos="167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date the Participant is no longer actively employed by, or actively providing services to, the Company or any Affiliate (except where such inactive service results from a leave of absence that is required to be provided to the Participant under applicable law), and in each case: (i) regardless of the reason of such cessation or termination; (ii) whether or not such cessation or termination is (or is later found to be) unlawful, or invalid, or in breach of applicable laws (including, but not limited to, employment-related statutory and/or common and/or civil law, or other laws or rules in the jurisdiction where the Participant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providing services), or in breach of the terms of the Participant’s employment or service agreement, if any.</w:t>
      </w:r>
    </w:p>
    <w:p>
      <w:pPr>
        <w:spacing w:after="0" w:line="191" w:lineRule="exact"/>
        <w:rPr>
          <w:sz w:val="20"/>
          <w:szCs w:val="20"/>
          <w:color w:val="auto"/>
        </w:rPr>
      </w:pPr>
    </w:p>
    <w:p>
      <w:pPr>
        <w:jc w:val="both"/>
        <w:ind w:left="1280"/>
        <w:spacing w:after="0" w:line="333" w:lineRule="auto"/>
        <w:rPr>
          <w:sz w:val="20"/>
          <w:szCs w:val="20"/>
          <w:color w:val="auto"/>
        </w:rPr>
      </w:pPr>
      <w:r>
        <w:rPr>
          <w:rFonts w:ascii="Arial" w:cs="Arial" w:eastAsia="Arial" w:hAnsi="Arial"/>
          <w:sz w:val="19"/>
          <w:szCs w:val="19"/>
          <w:color w:val="auto"/>
        </w:rPr>
        <w:t>For clarity, in each case, such date will be determined regardless of (and will not be extended by) any notice period or severance period or period of compensation in lieu of such notice or period of “garden leave” or any similar period to which the Participant claims to be entitled, whether mandated under applicable laws (including, but not limited to, employment-related statutory law and/or common law and/or civil law), or claimed by the Participant under the terms of the Participant’s employment or service agreement (if any), or claimed by the Participant on any other basis whatsoever. The Committee shall have exclusive discretion to determine when the Participant ceases to be an employee or is no longer actively employed for purposes of the Participant’s participation in the Plan (including whether the Participant may still be considered to be providing services while on a leave of absence that is not required to be provided to the Participant under applicable law).</w:t>
      </w:r>
    </w:p>
    <w:p>
      <w:pPr>
        <w:spacing w:after="0" w:line="93" w:lineRule="exact"/>
        <w:rPr>
          <w:sz w:val="20"/>
          <w:szCs w:val="20"/>
          <w:color w:val="auto"/>
        </w:rPr>
      </w:pPr>
    </w:p>
    <w:p>
      <w:pPr>
        <w:jc w:val="both"/>
        <w:ind w:left="520" w:hanging="509"/>
        <w:spacing w:after="0" w:line="299" w:lineRule="auto"/>
        <w:tabs>
          <w:tab w:leader="none" w:pos="5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Foreign specified property, including Shares and rights to receive Shares (</w:t>
      </w:r>
      <w:r>
        <w:rPr>
          <w:rFonts w:ascii="Arial" w:cs="Arial" w:eastAsia="Arial" w:hAnsi="Arial"/>
          <w:sz w:val="21"/>
          <w:szCs w:val="21"/>
          <w:i w:val="1"/>
          <w:iCs w:val="1"/>
          <w:color w:val="auto"/>
        </w:rPr>
        <w:t>e.g.</w:t>
      </w:r>
      <w:r>
        <w:rPr>
          <w:rFonts w:ascii="Arial" w:cs="Arial" w:eastAsia="Arial" w:hAnsi="Arial"/>
          <w:sz w:val="21"/>
          <w:szCs w:val="21"/>
          <w:color w:val="auto"/>
        </w:rPr>
        <w:t>, RSUs),</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must be reported annually on a Form T1135 (Foreign Income Verification Statement) if the total cost of the Participant’s foreign specified property exceeds C$100,000 at any time during the year. Thus, RSUs must be reported - generally at a nil cost - if the C$100,000 cost threshold is exceeded because of other foreign specified property the Participant holds. When Shares are acquired, their cost generally is the adjusted cost base (“ACB”) of the Shares. The ACB would ordinarily equal the fair market value of the Shares at the time of acquisition, but if other Shares are also owned, this ACB may have to be averaged with the ACB of the other Shares. </w:t>
      </w:r>
      <w:r>
        <w:rPr>
          <w:rFonts w:ascii="Arial" w:cs="Arial" w:eastAsia="Arial" w:hAnsi="Arial"/>
          <w:sz w:val="21"/>
          <w:szCs w:val="21"/>
          <w:i w:val="1"/>
          <w:iCs w:val="1"/>
          <w:color w:val="auto"/>
        </w:rPr>
        <w:t>The Participant should consult his or her personal tax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China</w:t>
      </w:r>
    </w:p>
    <w:p>
      <w:pPr>
        <w:spacing w:after="0" w:line="212" w:lineRule="exact"/>
        <w:rPr>
          <w:sz w:val="20"/>
          <w:szCs w:val="20"/>
          <w:color w:val="auto"/>
        </w:rPr>
      </w:pPr>
    </w:p>
    <w:p>
      <w:pPr>
        <w:jc w:val="both"/>
        <w:ind w:left="520" w:right="20" w:hanging="509"/>
        <w:spacing w:after="0" w:line="356" w:lineRule="auto"/>
        <w:tabs>
          <w:tab w:leader="none" w:pos="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9"/>
          <w:szCs w:val="19"/>
          <w:u w:val="single" w:color="auto"/>
          <w:color w:val="auto"/>
        </w:rPr>
        <w:t>Settlement in Cash Only</w:t>
      </w:r>
      <w:r>
        <w:rPr>
          <w:rFonts w:ascii="Arial" w:cs="Arial" w:eastAsia="Arial" w:hAnsi="Arial"/>
          <w:sz w:val="19"/>
          <w:szCs w:val="19"/>
          <w:color w:val="auto"/>
        </w:rPr>
        <w:t>. The following provision applies to the Participant to the extent that the Company, in its discretion,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determines that the Participant's participation in the Plan will be subject to exchange control restrictions in the People’s Republic of China (“PRC”), as implemented by the PRC State Administration of Foreign Exchange (“SAFE”):</w:t>
      </w:r>
    </w:p>
    <w:p>
      <w:pPr>
        <w:spacing w:after="0" w:line="81"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Notwithstanding any discretion in the Plan or anything to the contrary in the Award Agreement, the RSUs do not provide any right for the Participant to receive Shares. The Participant shall receive only a cash payment in an amount equal to the value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64" w:lineRule="exact"/>
        <w:rPr>
          <w:sz w:val="20"/>
          <w:szCs w:val="20"/>
          <w:color w:val="auto"/>
        </w:rPr>
      </w:pPr>
    </w:p>
    <w:p>
      <w:pPr>
        <w:jc w:val="both"/>
        <w:ind w:left="520"/>
        <w:spacing w:after="0" w:line="302" w:lineRule="auto"/>
        <w:rPr>
          <w:sz w:val="20"/>
          <w:szCs w:val="20"/>
          <w:color w:val="auto"/>
        </w:rPr>
      </w:pPr>
      <w:r>
        <w:rPr>
          <w:rFonts w:ascii="Arial" w:cs="Arial" w:eastAsia="Arial" w:hAnsi="Arial"/>
          <w:sz w:val="22"/>
          <w:szCs w:val="22"/>
          <w:color w:val="auto"/>
        </w:rPr>
        <w:t>on the Settlement Date based on the number of Shares determined under the Award Agreement (less any Tax-Related Items).</w:t>
      </w:r>
    </w:p>
    <w:p>
      <w:pPr>
        <w:spacing w:after="0" w:line="119" w:lineRule="exact"/>
        <w:rPr>
          <w:sz w:val="20"/>
          <w:szCs w:val="20"/>
          <w:color w:val="auto"/>
        </w:rPr>
      </w:pPr>
    </w:p>
    <w:p>
      <w:pPr>
        <w:jc w:val="both"/>
        <w:ind w:left="520"/>
        <w:spacing w:after="0" w:line="299" w:lineRule="auto"/>
        <w:rPr>
          <w:sz w:val="20"/>
          <w:szCs w:val="20"/>
          <w:color w:val="auto"/>
        </w:rPr>
      </w:pPr>
      <w:r>
        <w:rPr>
          <w:rFonts w:ascii="Arial" w:cs="Arial" w:eastAsia="Arial" w:hAnsi="Arial"/>
          <w:sz w:val="21"/>
          <w:szCs w:val="21"/>
          <w:color w:val="auto"/>
        </w:rPr>
        <w:t>Cash payments made to the Participant pursuant to the Award Agreement will be made to the Participant through the payroll of the Employer in China. In no event shall any payments to be made to the Participant pursuant to the Award Agreement be made into an account outside of China. Further, in no event shall any funds be transferred to China from outside China specifically to satisfy any payments made to the Participant pursuant to the Award Agreement. The Company reserves the right to make any necessary adjustments to the RSU Award and to require the Participant to sign any additional agreements or undertakings that may be necessary to effectuate this provision. Any provisions in this Award Agreement referring to the issuance of Shares pursuant to vested RSUs shall not be applicable to the Participant, and the Participant may not receive or hold Shares in connection with the RSUs granted under the Plan, so long as the Participant is subject to exchange control restrictions in China.</w:t>
      </w:r>
    </w:p>
    <w:p>
      <w:pPr>
        <w:spacing w:after="0" w:line="127" w:lineRule="exact"/>
        <w:rPr>
          <w:sz w:val="20"/>
          <w:szCs w:val="20"/>
          <w:color w:val="auto"/>
        </w:rPr>
      </w:pPr>
    </w:p>
    <w:p>
      <w:pPr>
        <w:jc w:val="both"/>
        <w:ind w:left="520"/>
        <w:spacing w:after="0" w:line="288" w:lineRule="auto"/>
        <w:rPr>
          <w:sz w:val="20"/>
          <w:szCs w:val="20"/>
          <w:color w:val="auto"/>
        </w:rPr>
      </w:pPr>
      <w:r>
        <w:rPr>
          <w:rFonts w:ascii="Arial" w:cs="Arial" w:eastAsia="Arial" w:hAnsi="Arial"/>
          <w:sz w:val="22"/>
          <w:szCs w:val="22"/>
          <w:color w:val="auto"/>
        </w:rPr>
        <w:t>The Participant acknowledges that, even though the Participant receives only a cash payment upon settlement of the RSUs, he or she may still be subject to certain exchange control requirements under local laws. The Participant should consult with his or her legal advisor to ensure compliance with any exchange control obligations arising from the Participant’s participation in the Plan.</w:t>
      </w:r>
    </w:p>
    <w:p>
      <w:pPr>
        <w:spacing w:after="0" w:line="18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France</w:t>
      </w:r>
    </w:p>
    <w:p>
      <w:pPr>
        <w:spacing w:after="0" w:line="266" w:lineRule="exact"/>
        <w:rPr>
          <w:sz w:val="20"/>
          <w:szCs w:val="20"/>
          <w:color w:val="auto"/>
        </w:rPr>
      </w:pPr>
    </w:p>
    <w:p>
      <w:pPr>
        <w:ind w:left="520" w:right="20" w:hanging="509"/>
        <w:spacing w:after="0" w:line="302" w:lineRule="auto"/>
        <w:tabs>
          <w:tab w:leader="none" w:pos="5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22"/>
          <w:szCs w:val="22"/>
          <w:u w:val="single" w:color="auto"/>
          <w:color w:val="auto"/>
        </w:rPr>
        <w:t>RSU Type</w:t>
      </w:r>
      <w:r>
        <w:rPr>
          <w:rFonts w:ascii="Arial" w:cs="Arial" w:eastAsia="Arial" w:hAnsi="Arial"/>
          <w:sz w:val="22"/>
          <w:szCs w:val="22"/>
          <w:color w:val="auto"/>
        </w:rPr>
        <w:t>. The shares granted under the Plan do not qualify for special tax and social security regimes. Consequently, their</w:t>
      </w:r>
      <w:r>
        <w:rPr>
          <w:rFonts w:ascii="Arial" w:cs="Arial" w:eastAsia="Arial" w:hAnsi="Arial"/>
          <w:sz w:val="22"/>
          <w:szCs w:val="22"/>
          <w:u w:val="single" w:color="auto"/>
          <w:color w:val="auto"/>
        </w:rPr>
        <w:t xml:space="preserve"> </w:t>
      </w:r>
      <w:r>
        <w:rPr>
          <w:rFonts w:ascii="Arial" w:cs="Arial" w:eastAsia="Arial" w:hAnsi="Arial"/>
          <w:sz w:val="22"/>
          <w:szCs w:val="22"/>
          <w:color w:val="auto"/>
        </w:rPr>
        <w:t>tax and social security treatment will be as follows:</w:t>
      </w:r>
    </w:p>
    <w:p>
      <w:pPr>
        <w:spacing w:after="0" w:line="119" w:lineRule="exact"/>
        <w:rPr>
          <w:sz w:val="20"/>
          <w:szCs w:val="20"/>
          <w:color w:val="auto"/>
        </w:rPr>
      </w:pPr>
    </w:p>
    <w:p>
      <w:pPr>
        <w:jc w:val="right"/>
        <w:ind w:left="660" w:hanging="324"/>
        <w:spacing w:after="0" w:line="387" w:lineRule="auto"/>
        <w:rPr>
          <w:sz w:val="20"/>
          <w:szCs w:val="20"/>
          <w:color w:val="auto"/>
        </w:rPr>
      </w:pPr>
      <w:r>
        <w:rPr>
          <w:rFonts w:ascii="Arial" w:cs="Arial" w:eastAsia="Arial" w:hAnsi="Arial"/>
          <w:sz w:val="19"/>
          <w:szCs w:val="19"/>
          <w:color w:val="auto"/>
        </w:rPr>
        <w:t>–  The RSU gain is taxed as a salary at the date giving rise to taxation, i.e. at vesting regardless of the fact the shares have been sold or not. This gain is therefore subject to a withholding tax in the same way as a salary and other benefits in kind.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The gain must be reported in the gross salary and subject to social security charges</w:t>
      </w:r>
    </w:p>
    <w:p>
      <w:pPr>
        <w:spacing w:after="0" w:line="260" w:lineRule="exact"/>
        <w:rPr>
          <w:sz w:val="20"/>
          <w:szCs w:val="20"/>
          <w:color w:val="auto"/>
        </w:rPr>
      </w:pPr>
    </w:p>
    <w:p>
      <w:pPr>
        <w:jc w:val="both"/>
        <w:ind w:left="520" w:hanging="509"/>
        <w:spacing w:after="0" w:line="291" w:lineRule="auto"/>
        <w:tabs>
          <w:tab w:leader="none" w:pos="5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22"/>
          <w:szCs w:val="22"/>
          <w:u w:val="single" w:color="auto"/>
          <w:color w:val="auto"/>
        </w:rPr>
        <w:t>Language Consent</w:t>
      </w:r>
      <w:r>
        <w:rPr>
          <w:rFonts w:ascii="Arial" w:cs="Arial" w:eastAsia="Arial" w:hAnsi="Arial"/>
          <w:sz w:val="22"/>
          <w:szCs w:val="22"/>
          <w:color w:val="auto"/>
        </w:rPr>
        <w:t>. By accepting the grant of the RSUs, the Participant confirms having read and understood the documents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related to the grant (the Award Agreement and the Plan), which were provided in the English language. The Participant accepts the terms of those documents accordingly.</w:t>
      </w:r>
    </w:p>
    <w:p>
      <w:pPr>
        <w:spacing w:after="0" w:line="187" w:lineRule="exact"/>
        <w:rPr>
          <w:sz w:val="20"/>
          <w:szCs w:val="20"/>
          <w:color w:val="auto"/>
        </w:rPr>
      </w:pPr>
    </w:p>
    <w:p>
      <w:pPr>
        <w:ind w:left="520"/>
        <w:spacing w:after="0" w:line="302" w:lineRule="auto"/>
        <w:rPr>
          <w:sz w:val="20"/>
          <w:szCs w:val="20"/>
          <w:color w:val="auto"/>
        </w:rPr>
      </w:pPr>
      <w:r>
        <w:rPr>
          <w:rFonts w:ascii="Arial" w:cs="Arial" w:eastAsia="Arial" w:hAnsi="Arial"/>
          <w:sz w:val="22"/>
          <w:szCs w:val="22"/>
          <w:i w:val="1"/>
          <w:iCs w:val="1"/>
          <w:color w:val="auto"/>
        </w:rPr>
        <w:t>En acceptant l’attribution du droit sur des actions assujetti à des restrictions (“RSUs”), le Participant confirme avoir lu et compris les documents relatifs à l’attribution (le Contrat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18" w:lineRule="exact"/>
        <w:rPr>
          <w:sz w:val="20"/>
          <w:szCs w:val="20"/>
          <w:color w:val="auto"/>
        </w:rPr>
      </w:pPr>
    </w:p>
    <w:p>
      <w:pPr>
        <w:ind w:left="512"/>
        <w:spacing w:after="0" w:line="302" w:lineRule="auto"/>
        <w:rPr>
          <w:sz w:val="20"/>
          <w:szCs w:val="20"/>
          <w:color w:val="auto"/>
        </w:rPr>
      </w:pPr>
      <w:r>
        <w:rPr>
          <w:rFonts w:ascii="Arial" w:cs="Arial" w:eastAsia="Arial" w:hAnsi="Arial"/>
          <w:sz w:val="22"/>
          <w:szCs w:val="22"/>
          <w:i w:val="1"/>
          <w:iCs w:val="1"/>
          <w:color w:val="auto"/>
        </w:rPr>
        <w:t>et le Plan) qui ont été fournis en langue anglaise. Le Participant accepte les dispositions de ces documents en connaissance de cause</w:t>
      </w:r>
      <w:r>
        <w:rPr>
          <w:rFonts w:ascii="Arial" w:cs="Arial" w:eastAsia="Arial" w:hAnsi="Arial"/>
          <w:sz w:val="19"/>
          <w:szCs w:val="19"/>
          <w:i w:val="1"/>
          <w:iCs w:val="1"/>
          <w:color w:val="auto"/>
        </w:rPr>
        <w:t>.</w:t>
      </w:r>
    </w:p>
    <w:p>
      <w:pPr>
        <w:spacing w:after="0" w:line="119" w:lineRule="exact"/>
        <w:rPr>
          <w:sz w:val="20"/>
          <w:szCs w:val="20"/>
          <w:color w:val="auto"/>
        </w:rPr>
      </w:pPr>
    </w:p>
    <w:p>
      <w:pPr>
        <w:ind w:left="512" w:hanging="509"/>
        <w:spacing w:after="0" w:line="327" w:lineRule="auto"/>
        <w:tabs>
          <w:tab w:leader="none" w:pos="49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French residents may hold Shares acquired under the Plan outside France, provided</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they declare all foreign accounts, whether open, current, or closed, in the their income tax return.</w:t>
      </w:r>
    </w:p>
    <w:p>
      <w:pPr>
        <w:spacing w:after="0" w:line="146" w:lineRule="exact"/>
        <w:rPr>
          <w:sz w:val="20"/>
          <w:szCs w:val="20"/>
          <w:color w:val="auto"/>
        </w:rPr>
      </w:pPr>
    </w:p>
    <w:p>
      <w:pPr>
        <w:ind w:left="492" w:hanging="492"/>
        <w:spacing w:after="0"/>
        <w:tabs>
          <w:tab w:leader="none" w:pos="492"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India</w:t>
      </w:r>
    </w:p>
    <w:p>
      <w:pPr>
        <w:spacing w:after="0" w:line="266" w:lineRule="exact"/>
        <w:rPr>
          <w:sz w:val="20"/>
          <w:szCs w:val="20"/>
          <w:color w:val="auto"/>
        </w:rPr>
      </w:pPr>
    </w:p>
    <w:p>
      <w:pPr>
        <w:jc w:val="both"/>
        <w:ind w:left="512" w:hanging="509"/>
        <w:spacing w:after="0" w:line="288" w:lineRule="auto"/>
        <w:tabs>
          <w:tab w:leader="none" w:pos="492"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22"/>
          <w:szCs w:val="22"/>
          <w:u w:val="single" w:color="auto"/>
          <w:color w:val="auto"/>
        </w:rPr>
        <w:t>Settlement in Cash Only</w:t>
      </w:r>
      <w:r>
        <w:rPr>
          <w:rFonts w:ascii="Arial" w:cs="Arial" w:eastAsia="Arial" w:hAnsi="Arial"/>
          <w:sz w:val="22"/>
          <w:szCs w:val="22"/>
          <w:color w:val="auto"/>
        </w:rPr>
        <w:t>. Notwithstanding any discretion in the Plan or anything to the contrary in the Award Agreement,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RSUs do not provide any right for the Participant to receive Shares. The Participant shall receive only a cash payment in an amount equal to the value of the Shares on the vesting date based on the number of Shares determined under the Award Agreement (less any Tax-Related Items).</w:t>
      </w:r>
    </w:p>
    <w:p>
      <w:pPr>
        <w:spacing w:after="0" w:line="184" w:lineRule="exact"/>
        <w:rPr>
          <w:sz w:val="20"/>
          <w:szCs w:val="20"/>
          <w:color w:val="auto"/>
        </w:rPr>
      </w:pPr>
    </w:p>
    <w:p>
      <w:pPr>
        <w:ind w:left="492" w:hanging="492"/>
        <w:spacing w:after="0"/>
        <w:tabs>
          <w:tab w:leader="none" w:pos="49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Italy</w:t>
      </w:r>
    </w:p>
    <w:p>
      <w:pPr>
        <w:spacing w:after="0" w:line="266" w:lineRule="exact"/>
        <w:rPr>
          <w:sz w:val="20"/>
          <w:szCs w:val="20"/>
          <w:color w:val="auto"/>
        </w:rPr>
      </w:pPr>
    </w:p>
    <w:p>
      <w:pPr>
        <w:jc w:val="both"/>
        <w:ind w:left="512" w:right="20" w:hanging="509"/>
        <w:spacing w:after="0" w:line="356" w:lineRule="auto"/>
        <w:tabs>
          <w:tab w:leader="none" w:pos="492"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By accepting the RSUs, the Participant acknowledges that he or she has received a copy</w:t>
      </w:r>
      <w:r>
        <w:rPr>
          <w:rFonts w:ascii="Arial" w:cs="Arial" w:eastAsia="Arial" w:hAnsi="Arial"/>
          <w:sz w:val="19"/>
          <w:szCs w:val="19"/>
          <w:u w:val="single" w:color="auto"/>
          <w:color w:val="auto"/>
        </w:rPr>
        <w:t xml:space="preserve"> </w:t>
      </w:r>
      <w:r>
        <w:rPr>
          <w:rFonts w:ascii="Arial" w:cs="Arial" w:eastAsia="Arial" w:hAnsi="Arial"/>
          <w:sz w:val="19"/>
          <w:szCs w:val="19"/>
          <w:color w:val="auto"/>
        </w:rPr>
        <w:t>of the Plan, the Award Agreement and has reviewed the Plan and the Award Agreement, including this Appendix in their entirety and fully understands and accepts all provisions of the Plan, the Award Agreement, including this Appendix.</w:t>
      </w:r>
    </w:p>
    <w:p>
      <w:pPr>
        <w:spacing w:after="0" w:line="135" w:lineRule="exact"/>
        <w:rPr>
          <w:sz w:val="20"/>
          <w:szCs w:val="20"/>
          <w:color w:val="auto"/>
        </w:rPr>
      </w:pPr>
    </w:p>
    <w:p>
      <w:pPr>
        <w:jc w:val="both"/>
        <w:ind w:left="512"/>
        <w:spacing w:after="0" w:line="326" w:lineRule="auto"/>
        <w:rPr>
          <w:sz w:val="20"/>
          <w:szCs w:val="20"/>
          <w:color w:val="auto"/>
        </w:rPr>
      </w:pPr>
      <w:r>
        <w:rPr>
          <w:rFonts w:ascii="Arial" w:cs="Arial" w:eastAsia="Arial" w:hAnsi="Arial"/>
          <w:sz w:val="19"/>
          <w:szCs w:val="19"/>
          <w:color w:val="auto"/>
        </w:rPr>
        <w:t>The Participant further acknowledges that he or she has read and specifically and expressly approves the following provisions of the Award Agreement: (i) Vesting and Settlement (ii) Forfeiture of RSUs; (iii) Non-Transferability of RSUs;</w:t>
      </w:r>
    </w:p>
    <w:p>
      <w:pPr>
        <w:ind w:left="512" w:hanging="2"/>
        <w:spacing w:after="0" w:line="302" w:lineRule="auto"/>
        <w:tabs>
          <w:tab w:leader="none" w:pos="8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Tax Obligations; (v) Dispute Resolution; (vi) Governing Law; (vi) Consent to Electronic Delivery and Participation; and (viii) Nature of Award.</w:t>
      </w:r>
    </w:p>
    <w:p>
      <w:pPr>
        <w:spacing w:after="0" w:line="119" w:lineRule="exact"/>
        <w:rPr>
          <w:sz w:val="20"/>
          <w:szCs w:val="20"/>
          <w:color w:val="auto"/>
        </w:rPr>
      </w:pPr>
    </w:p>
    <w:p>
      <w:pPr>
        <w:jc w:val="both"/>
        <w:ind w:left="512" w:hanging="509"/>
        <w:spacing w:after="0" w:line="301" w:lineRule="auto"/>
        <w:tabs>
          <w:tab w:leader="none" w:pos="492"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Italian residents who, at any time during the fiscal year, hold foreign financial assets</w:t>
      </w:r>
      <w:r>
        <w:rPr>
          <w:rFonts w:ascii="Arial" w:cs="Arial" w:eastAsia="Arial" w:hAnsi="Arial"/>
          <w:sz w:val="21"/>
          <w:szCs w:val="21"/>
          <w:u w:val="single" w:color="auto"/>
          <w:color w:val="auto"/>
        </w:rPr>
        <w:t xml:space="preserve"> </w:t>
      </w:r>
      <w:r>
        <w:rPr>
          <w:rFonts w:ascii="Arial" w:cs="Arial" w:eastAsia="Arial" w:hAnsi="Arial"/>
          <w:sz w:val="21"/>
          <w:szCs w:val="21"/>
          <w:color w:val="auto"/>
        </w:rPr>
        <w:t>(including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Participant should consult his or her personal tax advisor to ensure compliance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32"/>
          </w:cols>
          <w:pgMar w:left="328" w:top="1440" w:right="339" w:bottom="1440" w:gutter="0" w:footer="0" w:header="0"/>
        </w:sectPr>
      </w:pPr>
    </w:p>
    <w:bookmarkStart w:id="48" w:name="page49"/>
    <w:bookmarkEnd w:id="48"/>
    <w:p>
      <w:pPr>
        <w:spacing w:after="0" w:line="21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Mexico</w:t>
      </w:r>
    </w:p>
    <w:p>
      <w:pPr>
        <w:spacing w:after="0" w:line="266" w:lineRule="exact"/>
        <w:rPr>
          <w:sz w:val="20"/>
          <w:szCs w:val="20"/>
          <w:color w:val="auto"/>
        </w:rPr>
      </w:pPr>
    </w:p>
    <w:p>
      <w:pPr>
        <w:jc w:val="both"/>
        <w:ind w:left="520" w:hanging="509"/>
        <w:spacing w:after="0" w:line="300" w:lineRule="auto"/>
        <w:tabs>
          <w:tab w:leader="none" w:pos="5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21"/>
          <w:szCs w:val="21"/>
          <w:u w:val="single" w:color="auto"/>
          <w:color w:val="auto"/>
        </w:rPr>
        <w:t>Securities Law Notice</w:t>
      </w:r>
      <w:r>
        <w:rPr>
          <w:rFonts w:ascii="Arial" w:cs="Arial" w:eastAsia="Arial" w:hAnsi="Arial"/>
          <w:sz w:val="21"/>
          <w:szCs w:val="21"/>
          <w:color w:val="auto"/>
        </w:rPr>
        <w:t>. The Shares underlying your Award have not been registered with the National Register of Securities</w:t>
      </w:r>
      <w:r>
        <w:rPr>
          <w:rFonts w:ascii="Arial" w:cs="Arial" w:eastAsia="Arial" w:hAnsi="Arial"/>
          <w:sz w:val="21"/>
          <w:szCs w:val="21"/>
          <w:u w:val="single" w:color="auto"/>
          <w:color w:val="auto"/>
        </w:rPr>
        <w:t xml:space="preserve"> </w:t>
      </w:r>
      <w:r>
        <w:rPr>
          <w:rFonts w:ascii="Arial" w:cs="Arial" w:eastAsia="Arial" w:hAnsi="Arial"/>
          <w:sz w:val="21"/>
          <w:szCs w:val="21"/>
          <w:color w:val="auto"/>
        </w:rPr>
        <w:t>maintained by the Mexican Banking and Securities Commission and may not be offered or sold publicly in Mexico. The Plan documents may not be publicly distributed in Mexico. These materials are addressed to you only because of your existing labor relationship with a Mexican GXO subsidiary and may not be reproduced or copied in any form. The offer contained in these materials is addressed solely to the present employees of a Mexican GXO subsidiary and any rights under the Plan may not be assigned or transferred. The Shares underlying your Award will be offered pursuant to a private placement exception under the Mexican Securities Law.</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9"/>
          <w:szCs w:val="19"/>
          <w:u w:val="single" w:color="auto"/>
          <w:color w:val="auto"/>
        </w:rPr>
        <w:t>Plan Document Acknowledgement</w:t>
      </w:r>
    </w:p>
    <w:p>
      <w:pPr>
        <w:spacing w:after="0" w:line="241" w:lineRule="exact"/>
        <w:rPr>
          <w:sz w:val="20"/>
          <w:szCs w:val="20"/>
          <w:color w:val="auto"/>
        </w:rPr>
      </w:pPr>
    </w:p>
    <w:p>
      <w:pPr>
        <w:jc w:val="both"/>
        <w:ind w:left="520"/>
        <w:spacing w:after="0" w:line="303" w:lineRule="auto"/>
        <w:rPr>
          <w:sz w:val="20"/>
          <w:szCs w:val="20"/>
          <w:color w:val="auto"/>
        </w:rPr>
      </w:pPr>
      <w:r>
        <w:rPr>
          <w:rFonts w:ascii="Arial" w:cs="Arial" w:eastAsia="Arial" w:hAnsi="Arial"/>
          <w:sz w:val="21"/>
          <w:szCs w:val="21"/>
          <w:color w:val="auto"/>
        </w:rPr>
        <w:t>By accepting the RSUs, the Participant acknowledges that he or she has received a copy of the Plan, and the Award Agreement, including this Appendix, which the Participant has reviewed. The Participant acknowledges further that he or she accepts all the provisions of the Plan and the Award Agreement, including this Appendix. The Participant also acknowledges that he or she has read and specifically and expressly approves the terms and conditions set forth in the "Nature of Award" Section of the Award Agreement, which clearly provides as follows:</w:t>
      </w:r>
    </w:p>
    <w:p>
      <w:pPr>
        <w:spacing w:after="0" w:line="109" w:lineRule="exact"/>
        <w:rPr>
          <w:sz w:val="20"/>
          <w:szCs w:val="20"/>
          <w:color w:val="auto"/>
        </w:rPr>
      </w:pPr>
    </w:p>
    <w:p>
      <w:pPr>
        <w:ind w:left="980" w:hanging="462"/>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Participant’s participation in the Plan does not constitute an acquired right;</w:t>
      </w:r>
    </w:p>
    <w:p>
      <w:pPr>
        <w:spacing w:after="0" w:line="179" w:lineRule="exact"/>
        <w:rPr>
          <w:rFonts w:ascii="Arial" w:cs="Arial" w:eastAsia="Arial" w:hAnsi="Arial"/>
          <w:sz w:val="22"/>
          <w:szCs w:val="22"/>
          <w:color w:val="auto"/>
        </w:rPr>
      </w:pPr>
    </w:p>
    <w:p>
      <w:pPr>
        <w:ind w:left="980" w:hanging="462"/>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Plan and Participant’s participation in it are offered by the Company on a wholly discretionary basis;</w:t>
      </w:r>
    </w:p>
    <w:p>
      <w:pPr>
        <w:spacing w:after="0" w:line="192" w:lineRule="exact"/>
        <w:rPr>
          <w:rFonts w:ascii="Arial" w:cs="Arial" w:eastAsia="Arial" w:hAnsi="Arial"/>
          <w:sz w:val="22"/>
          <w:szCs w:val="22"/>
          <w:color w:val="auto"/>
        </w:rPr>
      </w:pPr>
    </w:p>
    <w:p>
      <w:pPr>
        <w:ind w:left="980" w:hanging="462"/>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Participant’s participation in the Plan is voluntary; and</w:t>
      </w:r>
    </w:p>
    <w:p>
      <w:pPr>
        <w:spacing w:after="0" w:line="192" w:lineRule="exact"/>
        <w:rPr>
          <w:rFonts w:ascii="Arial" w:cs="Arial" w:eastAsia="Arial" w:hAnsi="Arial"/>
          <w:sz w:val="22"/>
          <w:szCs w:val="22"/>
          <w:color w:val="auto"/>
        </w:rPr>
      </w:pPr>
    </w:p>
    <w:p>
      <w:pPr>
        <w:ind w:left="520" w:hanging="2"/>
        <w:spacing w:after="0" w:line="302" w:lineRule="auto"/>
        <w:tabs>
          <w:tab w:leader="none" w:pos="10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and its Subsidiaries and Affiliates are not responsible for any decrease in the value of any Shares acquired at vesting and settlement of the RSUs.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22"/>
          <w:szCs w:val="22"/>
          <w:i w:val="1"/>
          <w:iCs w:val="1"/>
          <w:u w:val="single" w:color="auto"/>
          <w:color w:val="auto"/>
        </w:rPr>
        <w:t>Reconocimiento del Documento del Plan</w:t>
      </w:r>
    </w:p>
    <w:p>
      <w:pPr>
        <w:spacing w:after="0" w:line="193"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i w:val="1"/>
          <w:iCs w:val="1"/>
          <w:color w:val="auto"/>
        </w:rPr>
        <w:t>Al aceptar las Unidades de Acciones Restringidas (RSUs, por sus siglas en inglés), el Participante reconoce que ha recibido una copia del Plan el Acuerdo, con inclusión de este Anexo, que el Participante ha revisado. El Participante reconoce, además, que acepta todas las disposiciones del Plan y en el Acuerdo, incluyendo este Anexo. El Participante también reconoce que ha leído y que concretamente aprueba de forma expresa los términos y condiciones establecidos en la Sección “Naturaleza de la Subvención” del Acuerdo, que claramente dispone lo siguiente:</w:t>
      </w:r>
    </w:p>
    <w:p>
      <w:pPr>
        <w:spacing w:after="0" w:line="81" w:lineRule="exact"/>
        <w:rPr>
          <w:sz w:val="20"/>
          <w:szCs w:val="20"/>
          <w:color w:val="auto"/>
        </w:rPr>
      </w:pPr>
    </w:p>
    <w:p>
      <w:pPr>
        <w:ind w:left="980" w:hanging="462"/>
        <w:spacing w:after="0"/>
        <w:tabs>
          <w:tab w:leader="none" w:pos="980" w:val="left"/>
        </w:tabs>
        <w:numPr>
          <w:ilvl w:val="0"/>
          <w:numId w:val="36"/>
        </w:numPr>
        <w:rPr>
          <w:rFonts w:ascii="Arial" w:cs="Arial" w:eastAsia="Arial" w:hAnsi="Arial"/>
          <w:sz w:val="22"/>
          <w:szCs w:val="22"/>
          <w:i w:val="1"/>
          <w:iCs w:val="1"/>
          <w:color w:val="auto"/>
        </w:rPr>
      </w:pPr>
      <w:r>
        <w:rPr>
          <w:rFonts w:ascii="Arial" w:cs="Arial" w:eastAsia="Arial" w:hAnsi="Arial"/>
          <w:sz w:val="22"/>
          <w:szCs w:val="22"/>
          <w:i w:val="1"/>
          <w:iCs w:val="1"/>
          <w:color w:val="auto"/>
        </w:rPr>
        <w:t>La participación del Participante en el Plan no constituye un derecho adquirido;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0" w:lineRule="exact"/>
        <w:rPr>
          <w:sz w:val="20"/>
          <w:szCs w:val="20"/>
          <w:color w:val="auto"/>
        </w:rPr>
      </w:pPr>
    </w:p>
    <w:p>
      <w:pPr>
        <w:ind w:left="980" w:hanging="462"/>
        <w:spacing w:after="0"/>
        <w:tabs>
          <w:tab w:leader="none" w:pos="980" w:val="left"/>
        </w:tabs>
        <w:numPr>
          <w:ilvl w:val="0"/>
          <w:numId w:val="37"/>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Participante en el Plan se ofrecen por la Compañía en su discrecionalidad total;</w:t>
      </w:r>
    </w:p>
    <w:p>
      <w:pPr>
        <w:spacing w:after="0" w:line="190" w:lineRule="exact"/>
        <w:rPr>
          <w:rFonts w:ascii="Arial" w:cs="Arial" w:eastAsia="Arial" w:hAnsi="Arial"/>
          <w:sz w:val="21"/>
          <w:szCs w:val="21"/>
          <w:i w:val="1"/>
          <w:iCs w:val="1"/>
          <w:color w:val="auto"/>
        </w:rPr>
      </w:pPr>
    </w:p>
    <w:p>
      <w:pPr>
        <w:ind w:left="980" w:hanging="462"/>
        <w:spacing w:after="0"/>
        <w:tabs>
          <w:tab w:leader="none" w:pos="980" w:val="left"/>
        </w:tabs>
        <w:numPr>
          <w:ilvl w:val="0"/>
          <w:numId w:val="37"/>
        </w:numPr>
        <w:rPr>
          <w:rFonts w:ascii="Arial" w:cs="Arial" w:eastAsia="Arial" w:hAnsi="Arial"/>
          <w:sz w:val="22"/>
          <w:szCs w:val="22"/>
          <w:i w:val="1"/>
          <w:iCs w:val="1"/>
          <w:color w:val="auto"/>
        </w:rPr>
      </w:pPr>
      <w:r>
        <w:rPr>
          <w:rFonts w:ascii="Arial" w:cs="Arial" w:eastAsia="Arial" w:hAnsi="Arial"/>
          <w:sz w:val="22"/>
          <w:szCs w:val="22"/>
          <w:i w:val="1"/>
          <w:iCs w:val="1"/>
          <w:color w:val="auto"/>
        </w:rPr>
        <w:t>Que la participación del Participante en el Plan es voluntaria; y</w:t>
      </w:r>
    </w:p>
    <w:p>
      <w:pPr>
        <w:spacing w:after="0" w:line="192" w:lineRule="exact"/>
        <w:rPr>
          <w:rFonts w:ascii="Arial" w:cs="Arial" w:eastAsia="Arial" w:hAnsi="Arial"/>
          <w:sz w:val="22"/>
          <w:szCs w:val="22"/>
          <w:i w:val="1"/>
          <w:iCs w:val="1"/>
          <w:color w:val="auto"/>
        </w:rPr>
      </w:pPr>
    </w:p>
    <w:p>
      <w:pPr>
        <w:ind w:left="520" w:hanging="2"/>
        <w:spacing w:after="0" w:line="302" w:lineRule="auto"/>
        <w:tabs>
          <w:tab w:leader="none" w:pos="1022" w:val="left"/>
        </w:tabs>
        <w:numPr>
          <w:ilvl w:val="0"/>
          <w:numId w:val="37"/>
        </w:numPr>
        <w:rPr>
          <w:rFonts w:ascii="Arial" w:cs="Arial" w:eastAsia="Arial" w:hAnsi="Arial"/>
          <w:sz w:val="22"/>
          <w:szCs w:val="22"/>
          <w:i w:val="1"/>
          <w:iCs w:val="1"/>
          <w:color w:val="auto"/>
        </w:rPr>
      </w:pPr>
      <w:r>
        <w:rPr>
          <w:rFonts w:ascii="Arial" w:cs="Arial" w:eastAsia="Arial" w:hAnsi="Arial"/>
          <w:sz w:val="22"/>
          <w:szCs w:val="22"/>
          <w:i w:val="1"/>
          <w:iCs w:val="1"/>
          <w:color w:val="auto"/>
        </w:rPr>
        <w:t>La Compañía y sus Subsidiarias y Afiliadas no son responsables de ninguna disminución en el valor de las acciones adquiridas al conferir las RSUs.</w:t>
      </w:r>
    </w:p>
    <w:p>
      <w:pPr>
        <w:spacing w:after="0" w:line="10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9"/>
          <w:szCs w:val="19"/>
          <w:u w:val="single" w:color="auto"/>
          <w:color w:val="auto"/>
        </w:rPr>
        <w:t>Labor Law Policy and Acknowledgment</w:t>
      </w:r>
    </w:p>
    <w:p>
      <w:pPr>
        <w:spacing w:after="0" w:line="214" w:lineRule="exact"/>
        <w:rPr>
          <w:sz w:val="20"/>
          <w:szCs w:val="20"/>
          <w:color w:val="auto"/>
        </w:rPr>
      </w:pPr>
    </w:p>
    <w:p>
      <w:pPr>
        <w:jc w:val="both"/>
        <w:ind w:left="520"/>
        <w:spacing w:after="0" w:line="333" w:lineRule="auto"/>
        <w:rPr>
          <w:sz w:val="20"/>
          <w:szCs w:val="20"/>
          <w:color w:val="auto"/>
        </w:rPr>
      </w:pPr>
      <w:r>
        <w:rPr>
          <w:rFonts w:ascii="Arial" w:cs="Arial" w:eastAsia="Arial" w:hAnsi="Arial"/>
          <w:sz w:val="19"/>
          <w:szCs w:val="19"/>
          <w:color w:val="auto"/>
        </w:rPr>
        <w:t>By accepting the RSUs, the Participant expressly recognizes that the Company, with registered offices at Two American Lane, Greenwich, Connecticut 06831, U.S.A., is solely responsible for the administration of the Plan and that the Participant’s participation in the Plan and acquisition of Shares do not constitute an employment relationship between the Participant and the Company since the Participant is participating in the Plan on a wholly commercial basis and his or her sole employer is an Affiliate of the Company in Mexico (“GXO Mexico”). Based on the foregoing, the Participant expressly recognizes that the Plan and the benefits that he or she may derive from participating in the Plan do not establish any rights between the Participant and the employer, GXO Mexico, and do not form part of the employment conditions and/or benefits provided by GXO Mexico, and any modification of the Plan or its termination shall not constitute a change or impairment of the terms and conditions of the Participant’s employment.</w:t>
      </w:r>
    </w:p>
    <w:p>
      <w:pPr>
        <w:spacing w:after="0" w:line="93"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The Participant further understands that his or her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19"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Finally, the Participant hereby declares that he or she does not reserve to him- or herself any action or right to bring any claim against the Company for any compensation or damages regarding any provision of the Plan or the benefits derived under the Plan, and the Participant therefore grants a full and broad release to the Company, and its subsidiaries, branches, representative offices, shareholders, directors, officers, employees, agents, or legal representatives with respect to any claim that may arise.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Política Laboral y Reconocimiento</w:t>
      </w:r>
    </w:p>
    <w:p>
      <w:pPr>
        <w:spacing w:after="0" w:line="193" w:lineRule="exact"/>
        <w:rPr>
          <w:sz w:val="20"/>
          <w:szCs w:val="20"/>
          <w:color w:val="auto"/>
        </w:rPr>
      </w:pPr>
    </w:p>
    <w:p>
      <w:pPr>
        <w:jc w:val="both"/>
        <w:ind w:left="520"/>
        <w:spacing w:after="0" w:line="306" w:lineRule="auto"/>
        <w:rPr>
          <w:sz w:val="20"/>
          <w:szCs w:val="20"/>
          <w:color w:val="auto"/>
        </w:rPr>
      </w:pPr>
      <w:r>
        <w:rPr>
          <w:rFonts w:ascii="Arial" w:cs="Arial" w:eastAsia="Arial" w:hAnsi="Arial"/>
          <w:sz w:val="21"/>
          <w:szCs w:val="21"/>
          <w:i w:val="1"/>
          <w:iCs w:val="1"/>
          <w:color w:val="auto"/>
        </w:rPr>
        <w:t>Al aceptar las RSUs, el Participante expresamente reconoce que la Compañía, con sus oficinas registradas y ubicadas en Two American Lane, Greenwich, Connecticut 06831, U.S.A.., es la única responsable por la administración del Plan y que la participación del Participante en el Plan y en su caso la adquisición de Acciones no constituyen una relación de trabajo entre el Participante y la Compañía, ya que el Participante participa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0"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i w:val="1"/>
          <w:iCs w:val="1"/>
          <w:color w:val="auto"/>
        </w:rPr>
        <w:t>en el Plan en un marco totalmente comercial y su único patrón es una Afiliada de la Compañía (“GXO Mexico”). Derivado de lo anterior, el Participante expresamente reconoce que el Plan y los beneficios que pudieran derivar de la participación en el Plan no establecen derecho alguno entre el Participante y el patrón, GXO Mexico, y no forma parte de las condiciones de trabajo y/o las prestaciones otorgadas por GXO Mexico, y que cualquier modificación al Plan o su terminación no constituye un cambio o desmejora de los términos y condiciones de la relación de trabajo del Participante.</w:t>
      </w:r>
    </w:p>
    <w:p>
      <w:pPr>
        <w:spacing w:after="0" w:line="68" w:lineRule="exact"/>
        <w:rPr>
          <w:sz w:val="20"/>
          <w:szCs w:val="20"/>
          <w:color w:val="auto"/>
        </w:rPr>
      </w:pPr>
    </w:p>
    <w:p>
      <w:pPr>
        <w:jc w:val="both"/>
        <w:ind w:left="520"/>
        <w:spacing w:after="0" w:line="311" w:lineRule="auto"/>
        <w:rPr>
          <w:sz w:val="20"/>
          <w:szCs w:val="20"/>
          <w:color w:val="auto"/>
        </w:rPr>
      </w:pPr>
      <w:r>
        <w:rPr>
          <w:rFonts w:ascii="Arial" w:cs="Arial" w:eastAsia="Arial" w:hAnsi="Arial"/>
          <w:sz w:val="21"/>
          <w:szCs w:val="21"/>
          <w:i w:val="1"/>
          <w:iCs w:val="1"/>
          <w:color w:val="auto"/>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spacing w:after="0" w:line="101"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i w:val="1"/>
          <w:iCs w:val="1"/>
          <w:color w:val="auto"/>
        </w:rPr>
        <w:t>Finalmente, el Participante por este medio declara que no se reserva ninguna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autoridades, empleados, agentes, o representantes legales en relación con cualquier demanda que pudiera surgir.</w:t>
      </w:r>
    </w:p>
    <w:p>
      <w:pPr>
        <w:spacing w:after="0" w:line="188"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Netherlands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35" w:lineRule="exact"/>
        <w:rPr>
          <w:rFonts w:ascii="Arial" w:cs="Arial" w:eastAsia="Arial" w:hAnsi="Arial"/>
          <w:sz w:val="22"/>
          <w:szCs w:val="22"/>
          <w:b w:val="1"/>
          <w:bCs w:val="1"/>
          <w:color w:val="auto"/>
        </w:rPr>
      </w:pPr>
    </w:p>
    <w:p>
      <w:pPr>
        <w:ind w:left="500" w:hanging="492"/>
        <w:spacing w:after="0"/>
        <w:tabs>
          <w:tab w:leader="none" w:pos="5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-622935</wp:posOffset>
            </wp:positionV>
            <wp:extent cx="3857625"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857625" cy="266065"/>
                    </a:xfrm>
                    <a:prstGeom prst="rect">
                      <a:avLst/>
                    </a:prstGeom>
                    <a:noFill/>
                  </pic:spPr>
                </pic:pic>
              </a:graphicData>
            </a:graphic>
          </wp:anchor>
        </w:drawing>
      </w:r>
    </w:p>
    <w:p>
      <w:pPr>
        <w:spacing w:after="0" w:line="246" w:lineRule="exact"/>
        <w:rPr>
          <w:sz w:val="20"/>
          <w:szCs w:val="20"/>
          <w:color w:val="auto"/>
        </w:rPr>
      </w:pPr>
    </w:p>
    <w:p>
      <w:pPr>
        <w:jc w:val="both"/>
        <w:ind w:left="520" w:hanging="509"/>
        <w:spacing w:after="0" w:line="286" w:lineRule="auto"/>
        <w:tabs>
          <w:tab w:leader="none" w:pos="5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22"/>
          <w:szCs w:val="22"/>
          <w:u w:val="single" w:color="auto"/>
          <w:color w:val="auto"/>
        </w:rPr>
        <w:t>Exchange Control Notification</w:t>
      </w:r>
      <w:r>
        <w:rPr>
          <w:rFonts w:ascii="Arial" w:cs="Arial" w:eastAsia="Arial" w:hAnsi="Arial"/>
          <w:sz w:val="22"/>
          <w:szCs w:val="22"/>
          <w:color w:val="auto"/>
        </w:rPr>
        <w:t>. Polish residents holding foreign securities (e.g., Shares) and/or maintaining accounts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spacing w:after="0" w:line="194"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Further, if the Participant transfers funds in excess of €15,000 (or PLN15,000 if the transfer of funds is connected with the business activity of an entrepreneur), the funds must be transferred via a bank account in Poland. The Participant is required to retain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18" w:lineRule="exact"/>
        <w:rPr>
          <w:sz w:val="20"/>
          <w:szCs w:val="20"/>
          <w:color w:val="auto"/>
        </w:rPr>
      </w:pPr>
    </w:p>
    <w:p>
      <w:pPr>
        <w:ind w:left="520"/>
        <w:spacing w:after="0" w:line="302" w:lineRule="auto"/>
        <w:rPr>
          <w:sz w:val="20"/>
          <w:szCs w:val="20"/>
          <w:color w:val="auto"/>
        </w:rPr>
      </w:pPr>
      <w:r>
        <w:rPr>
          <w:rFonts w:ascii="Arial" w:cs="Arial" w:eastAsia="Arial" w:hAnsi="Arial"/>
          <w:sz w:val="22"/>
          <w:szCs w:val="22"/>
          <w:color w:val="auto"/>
        </w:rPr>
        <w:t>documents connected with a foreign exchange transaction for a period of five years, as measured from the end of the year in which such transaction occurred.</w:t>
      </w:r>
    </w:p>
    <w:p>
      <w:pPr>
        <w:spacing w:after="0" w:line="167"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Romania</w:t>
      </w:r>
    </w:p>
    <w:p>
      <w:pPr>
        <w:spacing w:after="0" w:line="266" w:lineRule="exact"/>
        <w:rPr>
          <w:sz w:val="20"/>
          <w:szCs w:val="20"/>
          <w:color w:val="auto"/>
        </w:rPr>
      </w:pPr>
    </w:p>
    <w:p>
      <w:pPr>
        <w:jc w:val="both"/>
        <w:ind w:left="500" w:hanging="509"/>
        <w:spacing w:after="0" w:line="356" w:lineRule="auto"/>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9"/>
          <w:szCs w:val="19"/>
          <w:u w:val="single" w:color="auto"/>
          <w:color w:val="auto"/>
        </w:rPr>
        <w:t>Language Consent</w:t>
      </w:r>
      <w:r>
        <w:rPr>
          <w:rFonts w:ascii="Arial" w:cs="Arial" w:eastAsia="Arial" w:hAnsi="Arial"/>
          <w:sz w:val="19"/>
          <w:szCs w:val="19"/>
          <w:color w:val="auto"/>
        </w:rPr>
        <w:t>. By accepting the RSU Award, the Participant acknowledges that he or she is proficient in reading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understanding English and fully understands the terms of the documents related to the grant (the Award Agreement and the Plan), which were provided in the English language. Participant accepts the terms of those documents accordingly.</w:t>
      </w:r>
    </w:p>
    <w:p>
      <w:pPr>
        <w:spacing w:after="0" w:line="135" w:lineRule="exact"/>
        <w:rPr>
          <w:sz w:val="20"/>
          <w:szCs w:val="20"/>
          <w:color w:val="auto"/>
        </w:rPr>
      </w:pPr>
    </w:p>
    <w:p>
      <w:pPr>
        <w:jc w:val="both"/>
        <w:ind w:left="520"/>
        <w:spacing w:after="0" w:line="288" w:lineRule="auto"/>
        <w:rPr>
          <w:sz w:val="20"/>
          <w:szCs w:val="20"/>
          <w:color w:val="auto"/>
        </w:rPr>
      </w:pPr>
      <w:r>
        <w:rPr>
          <w:rFonts w:ascii="Arial" w:cs="Arial" w:eastAsia="Arial" w:hAnsi="Arial"/>
          <w:sz w:val="22"/>
          <w:szCs w:val="22"/>
          <w:i w:val="1"/>
          <w:iCs w:val="1"/>
          <w:color w:val="auto"/>
        </w:rPr>
        <w:t>Consimtamant cu Privire la Limba. Prin acceptarea acordarii de RSU-uri, Participantul confirma ca acesta sau aceasta are un nivel adecvat de cunoastere in ce priveste cititirea si intelegerea limbii engleze, a citit si confirma ca a inteles pe deplin termenii documentelor referitoare la acordare (Acordul RSU si Planul), care au fost furnizate in limba engleza. Participantul accepta termenii acestor documente in consecinta.</w:t>
      </w:r>
    </w:p>
    <w:p>
      <w:pPr>
        <w:spacing w:after="0" w:line="190" w:lineRule="exact"/>
        <w:rPr>
          <w:sz w:val="20"/>
          <w:szCs w:val="20"/>
          <w:color w:val="auto"/>
        </w:rPr>
      </w:pPr>
    </w:p>
    <w:p>
      <w:pPr>
        <w:jc w:val="both"/>
        <w:ind w:left="500" w:hanging="509"/>
        <w:spacing w:after="0" w:line="288" w:lineRule="auto"/>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22"/>
          <w:szCs w:val="22"/>
          <w:u w:val="single" w:color="auto"/>
          <w:color w:val="auto"/>
        </w:rPr>
        <w:t>Exchange Control Notification</w:t>
      </w:r>
      <w:r>
        <w:rPr>
          <w:rFonts w:ascii="Arial" w:cs="Arial" w:eastAsia="Arial" w:hAnsi="Arial"/>
          <w:sz w:val="22"/>
          <w:szCs w:val="22"/>
          <w:color w:val="auto"/>
        </w:rPr>
        <w:t>. If the Participant deposits the proceeds from the sale of Shares acquired under this Plan in a</w:t>
      </w:r>
      <w:r>
        <w:rPr>
          <w:rFonts w:ascii="Arial" w:cs="Arial" w:eastAsia="Arial" w:hAnsi="Arial"/>
          <w:sz w:val="22"/>
          <w:szCs w:val="22"/>
          <w:u w:val="single" w:color="auto"/>
          <w:color w:val="auto"/>
        </w:rPr>
        <w:t xml:space="preserve"> </w:t>
      </w:r>
      <w:r>
        <w:rPr>
          <w:rFonts w:ascii="Arial" w:cs="Arial" w:eastAsia="Arial" w:hAnsi="Arial"/>
          <w:sz w:val="22"/>
          <w:szCs w:val="22"/>
          <w:color w:val="auto"/>
        </w:rPr>
        <w:t>bank account in Romania, the Participant may be required to provide the Romanian bank with appropriate documentation explaining the source of the funds. The Participant should consult his or her personal legal advisor to ensure compliance with applicable requirements.</w:t>
      </w:r>
    </w:p>
    <w:p>
      <w:pPr>
        <w:spacing w:after="0" w:line="184"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Russian Federation</w:t>
      </w:r>
    </w:p>
    <w:p>
      <w:pPr>
        <w:spacing w:after="0" w:line="212" w:lineRule="exact"/>
        <w:rPr>
          <w:sz w:val="20"/>
          <w:szCs w:val="20"/>
          <w:color w:val="auto"/>
        </w:rPr>
      </w:pPr>
    </w:p>
    <w:p>
      <w:pPr>
        <w:jc w:val="both"/>
        <w:ind w:left="500" w:hanging="509"/>
        <w:spacing w:after="0" w:line="288" w:lineRule="auto"/>
        <w:tabs>
          <w:tab w:leader="none" w:pos="4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22"/>
          <w:szCs w:val="22"/>
          <w:u w:val="single" w:color="auto"/>
          <w:color w:val="auto"/>
        </w:rPr>
        <w:t>Non-Russian Transaction</w:t>
      </w:r>
      <w:r>
        <w:rPr>
          <w:rFonts w:ascii="Arial" w:cs="Arial" w:eastAsia="Arial" w:hAnsi="Arial"/>
          <w:sz w:val="22"/>
          <w:szCs w:val="22"/>
          <w:color w:val="auto"/>
        </w:rPr>
        <w:t>. The Participant understands that the RSUs shall be valid and the Award Agreement shall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concluded and become effective only when the Award Agreement is received by the Company in the United States. Upon vesting of the RSUs, any Shares to be issued to the Participant shall be delivered to the Participant through a bank or brokerage account in the United States.</w:t>
      </w:r>
    </w:p>
    <w:p>
      <w:pPr>
        <w:spacing w:after="0" w:line="122" w:lineRule="exact"/>
        <w:rPr>
          <w:sz w:val="20"/>
          <w:szCs w:val="20"/>
          <w:color w:val="auto"/>
        </w:rPr>
      </w:pPr>
    </w:p>
    <w:p>
      <w:pPr>
        <w:jc w:val="both"/>
        <w:ind w:left="500" w:hanging="509"/>
        <w:spacing w:after="0" w:line="306" w:lineRule="auto"/>
        <w:tabs>
          <w:tab w:leader="none" w:pos="4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This Appendix, the Award Agreement, the Plan and all other materials that the Participant may</w:t>
      </w:r>
      <w:r>
        <w:rPr>
          <w:rFonts w:ascii="Arial" w:cs="Arial" w:eastAsia="Arial" w:hAnsi="Arial"/>
          <w:sz w:val="21"/>
          <w:szCs w:val="21"/>
          <w:u w:val="single" w:color="auto"/>
          <w:color w:val="auto"/>
        </w:rPr>
        <w:t xml:space="preserve"> </w:t>
      </w:r>
      <w:r>
        <w:rPr>
          <w:rFonts w:ascii="Arial" w:cs="Arial" w:eastAsia="Arial" w:hAnsi="Arial"/>
          <w:sz w:val="21"/>
          <w:szCs w:val="21"/>
          <w:color w:val="auto"/>
        </w:rPr>
        <w:t>receive regarding participation in the Plan do not constitute advertising or an offering of securities in Russia. The issuance of securities pursuant to the Plan has not and will not be registered in Russia; hence, the securities described in any Plan-related documents may not be used for offering or public circulation in Russia.</w:t>
      </w:r>
    </w:p>
    <w:p>
      <w:pPr>
        <w:spacing w:after="0" w:line="91" w:lineRule="exact"/>
        <w:rPr>
          <w:sz w:val="20"/>
          <w:szCs w:val="20"/>
          <w:color w:val="auto"/>
        </w:rPr>
      </w:pPr>
    </w:p>
    <w:p>
      <w:pPr>
        <w:jc w:val="both"/>
        <w:ind w:left="500" w:hanging="509"/>
        <w:spacing w:after="0" w:line="291" w:lineRule="auto"/>
        <w:tabs>
          <w:tab w:leader="none" w:pos="4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Participant understands that, under exchange control regulations in Russia, he or she</w:t>
      </w:r>
      <w:r>
        <w:rPr>
          <w:rFonts w:ascii="Arial" w:cs="Arial" w:eastAsia="Arial" w:hAnsi="Arial"/>
          <w:sz w:val="22"/>
          <w:szCs w:val="22"/>
          <w:u w:val="single" w:color="auto"/>
          <w:color w:val="auto"/>
        </w:rPr>
        <w:t xml:space="preserve"> </w:t>
      </w:r>
      <w:r>
        <w:rPr>
          <w:rFonts w:ascii="Arial" w:cs="Arial" w:eastAsia="Arial" w:hAnsi="Arial"/>
          <w:sz w:val="22"/>
          <w:szCs w:val="22"/>
          <w:color w:val="auto"/>
        </w:rPr>
        <w:t>may be required to repatriate certain funds to the Participant’s bank account in Russia prior to using those funds for any purpose,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0"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reinvestment. If the repatriation requirements apply, such funds must be initially credited to the Participant through a foreign currency account at an authorized bank in Russia. After the funds are initially received in Russia, they may be further remitted to foreign banks in accordance with Russian exchange control laws. The Participant should consult with his or her personal legal advisor to determine whether the repatriation or other exchange control requirements apply and to ensure compliance with such requirements.</w:t>
      </w:r>
    </w:p>
    <w:p>
      <w:pPr>
        <w:spacing w:after="0" w:line="188"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Singapore</w:t>
      </w:r>
    </w:p>
    <w:p>
      <w:pPr>
        <w:spacing w:after="0" w:line="266" w:lineRule="exact"/>
        <w:rPr>
          <w:sz w:val="20"/>
          <w:szCs w:val="20"/>
          <w:color w:val="auto"/>
        </w:rPr>
      </w:pPr>
    </w:p>
    <w:p>
      <w:pPr>
        <w:jc w:val="both"/>
        <w:ind w:left="500" w:hanging="509"/>
        <w:spacing w:after="0" w:line="285" w:lineRule="auto"/>
        <w:tabs>
          <w:tab w:leader="none" w:pos="4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22"/>
          <w:szCs w:val="22"/>
          <w:u w:val="single" w:color="auto"/>
          <w:color w:val="auto"/>
        </w:rPr>
        <w:t>Sale Restriction</w:t>
      </w:r>
      <w:r>
        <w:rPr>
          <w:rFonts w:ascii="Arial" w:cs="Arial" w:eastAsia="Arial" w:hAnsi="Arial"/>
          <w:sz w:val="22"/>
          <w:szCs w:val="22"/>
          <w:color w:val="auto"/>
        </w:rPr>
        <w:t>. In the event the RSUs vest and Shares are issued to the Participant (or the Participant's heirs) within six</w:t>
      </w:r>
      <w:r>
        <w:rPr>
          <w:rFonts w:ascii="Arial" w:cs="Arial" w:eastAsia="Arial" w:hAnsi="Arial"/>
          <w:sz w:val="22"/>
          <w:szCs w:val="22"/>
          <w:u w:val="single" w:color="auto"/>
          <w:color w:val="auto"/>
        </w:rPr>
        <w:t xml:space="preserve"> </w:t>
      </w:r>
      <w:r>
        <w:rPr>
          <w:rFonts w:ascii="Arial" w:cs="Arial" w:eastAsia="Arial" w:hAnsi="Arial"/>
          <w:sz w:val="22"/>
          <w:szCs w:val="22"/>
          <w:color w:val="auto"/>
        </w:rPr>
        <w:t>months of the date of grant, the Participant (or the Participant's heirs) agrees that the Shares will not be offered to the public or otherwise disposed of prior to the six-month anniversary of the date of grant, unless such sale or offer to sell in Singapore is made pursuant to the exemptions under Part XIII Division (1) Subdivision (4) (other than section 280) of the Singapore Securities and Futures Act (Chapter 289, 2006 Ed.) (“SFA”) or pursuant to, and in accordance with the conditions of, any other applicable provisions of the SFA.</w:t>
      </w:r>
    </w:p>
    <w:p>
      <w:pPr>
        <w:spacing w:after="0" w:line="196" w:lineRule="exact"/>
        <w:rPr>
          <w:sz w:val="20"/>
          <w:szCs w:val="20"/>
          <w:color w:val="auto"/>
        </w:rPr>
      </w:pPr>
    </w:p>
    <w:p>
      <w:pPr>
        <w:jc w:val="both"/>
        <w:ind w:left="500" w:hanging="509"/>
        <w:spacing w:after="0" w:line="306" w:lineRule="auto"/>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grant of the RSUs is being made pursuant to the “Qualifying Person” exemption under</w:t>
      </w:r>
      <w:r>
        <w:rPr>
          <w:rFonts w:ascii="Arial" w:cs="Arial" w:eastAsia="Arial" w:hAnsi="Arial"/>
          <w:sz w:val="21"/>
          <w:szCs w:val="21"/>
          <w:u w:val="single" w:color="auto"/>
          <w:color w:val="auto"/>
        </w:rPr>
        <w:t xml:space="preserve"> </w:t>
      </w:r>
      <w:r>
        <w:rPr>
          <w:rFonts w:ascii="Arial" w:cs="Arial" w:eastAsia="Arial" w:hAnsi="Arial"/>
          <w:sz w:val="21"/>
          <w:szCs w:val="21"/>
          <w:color w:val="auto"/>
        </w:rPr>
        <w:t>section 273(1)(f) of the SFA under which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6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9"/>
          <w:szCs w:val="19"/>
          <w:u w:val="single" w:color="auto"/>
          <w:color w:val="auto"/>
        </w:rPr>
        <w:t>Tax Obligations</w:t>
      </w:r>
      <w:r>
        <w:rPr>
          <w:rFonts w:ascii="Arial" w:cs="Arial" w:eastAsia="Arial" w:hAnsi="Arial"/>
          <w:sz w:val="19"/>
          <w:szCs w:val="19"/>
          <w:color w:val="auto"/>
        </w:rPr>
        <w:t>. The following provision supplements Section 7 (“Tax Obligations”) of the Award Agreement:</w:t>
      </w:r>
    </w:p>
    <w:p>
      <w:pPr>
        <w:spacing w:after="0" w:line="214" w:lineRule="exact"/>
        <w:rPr>
          <w:sz w:val="20"/>
          <w:szCs w:val="20"/>
          <w:color w:val="auto"/>
        </w:rPr>
      </w:pPr>
    </w:p>
    <w:p>
      <w:pPr>
        <w:jc w:val="both"/>
        <w:ind w:left="520"/>
        <w:spacing w:after="0" w:line="285" w:lineRule="auto"/>
        <w:rPr>
          <w:sz w:val="20"/>
          <w:szCs w:val="20"/>
          <w:color w:val="auto"/>
        </w:rPr>
      </w:pPr>
      <w:r>
        <w:rPr>
          <w:rFonts w:ascii="Arial" w:cs="Arial" w:eastAsia="Arial" w:hAnsi="Arial"/>
          <w:sz w:val="22"/>
          <w:szCs w:val="22"/>
          <w:color w:val="auto"/>
        </w:rPr>
        <w:t>The Participant agrees to indemnify the Company and/or the Employer for all Tax-Related Items that they are required to pay or withhold or have paid or will pay to Her Majesty’s Revenue &amp; Customs (“HMRC”) (or any other tax authority or any other relevant authority) on the Participant’s behalf and authorizes the Company and/or the Employer to recover such amounts by any of the means set out in Section 7 of the Award Agreement. The Participant also agrees to be liable for any Tax-Related Items related to the RSUs and legally applicable to him or her, and hereby covenants to pay any such Tax-Related items as and when requested by the Company, the Employer or by HMRC (or any other tax authority or any other relevant authority).</w:t>
      </w:r>
    </w:p>
    <w:p>
      <w:pPr>
        <w:spacing w:after="0" w:line="125" w:lineRule="exact"/>
        <w:rPr>
          <w:sz w:val="20"/>
          <w:szCs w:val="20"/>
          <w:color w:val="auto"/>
        </w:rPr>
      </w:pPr>
    </w:p>
    <w:p>
      <w:pPr>
        <w:jc w:val="both"/>
        <w:ind w:left="520"/>
        <w:spacing w:after="0" w:line="302" w:lineRule="auto"/>
        <w:rPr>
          <w:sz w:val="20"/>
          <w:szCs w:val="20"/>
          <w:color w:val="auto"/>
        </w:rPr>
      </w:pPr>
      <w:r>
        <w:rPr>
          <w:rFonts w:ascii="Arial" w:cs="Arial" w:eastAsia="Arial" w:hAnsi="Arial"/>
          <w:sz w:val="22"/>
          <w:szCs w:val="22"/>
          <w:color w:val="auto"/>
        </w:rPr>
        <w:t>Notwithstanding the foregoing, if the Participant is an executive officer or director (as within the meaning of Section 13(k) of the Exchange Act), the terms of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foregoing provision will not apply. In the event that the Participant is an executive officer or director and the income tax is not collected from or paid by the Participant within ninety (90) days of the end of the U.K. tax year in which an event giving rise to the indemnification described above occurs, the amount of any uncollected income tax may constitute a benefit to the Participant on which additional income tax and national insurance contributions may be payable. The Participant acknowledges that he or she will be responsible for reporting and paying any income tax due on this additional benefit directly to the HMRC under the self-assessment regime and for paying the Company or the Employer, as applicable, for the value of any employee national insurance contributions due on this additional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20"/>
          </w:cols>
          <w:pgMar w:left="840" w:top="14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PERFORMANCE SHARE UNIT AWARD AGREEMENT UNDER THE</w:t>
      </w:r>
    </w:p>
    <w:p>
      <w:pPr>
        <w:jc w:val="center"/>
        <w:spacing w:after="0"/>
        <w:rPr>
          <w:sz w:val="20"/>
          <w:szCs w:val="20"/>
          <w:color w:val="auto"/>
        </w:rPr>
      </w:pPr>
      <w:r>
        <w:rPr>
          <w:rFonts w:ascii="Arial" w:cs="Arial" w:eastAsia="Arial" w:hAnsi="Arial"/>
          <w:sz w:val="22"/>
          <w:szCs w:val="22"/>
          <w:b w:val="1"/>
          <w:bCs w:val="1"/>
          <w:color w:val="auto"/>
        </w:rPr>
        <w:t>GXO LOGISTICS, INC. 2021 OMNIBUS INCENTIVE COMPENSATION PLAN</w:t>
      </w:r>
    </w:p>
    <w:p>
      <w:pPr>
        <w:spacing w:after="0" w:line="200" w:lineRule="exact"/>
        <w:rPr>
          <w:sz w:val="20"/>
          <w:szCs w:val="20"/>
          <w:color w:val="auto"/>
        </w:rPr>
      </w:pPr>
    </w:p>
    <w:p>
      <w:pPr>
        <w:spacing w:after="0" w:line="231" w:lineRule="exact"/>
        <w:rPr>
          <w:sz w:val="20"/>
          <w:szCs w:val="20"/>
          <w:color w:val="auto"/>
        </w:rPr>
      </w:pPr>
    </w:p>
    <w:p>
      <w:pPr>
        <w:jc w:val="both"/>
        <w:ind w:firstLine="266"/>
        <w:spacing w:after="0" w:line="212" w:lineRule="auto"/>
        <w:rPr>
          <w:sz w:val="20"/>
          <w:szCs w:val="20"/>
          <w:color w:val="auto"/>
        </w:rPr>
      </w:pPr>
      <w:r>
        <w:rPr>
          <w:rFonts w:ascii="Arial" w:cs="Arial" w:eastAsia="Arial" w:hAnsi="Arial"/>
          <w:sz w:val="22"/>
          <w:szCs w:val="22"/>
          <w:color w:val="auto"/>
        </w:rPr>
        <w:t>This Performance Share Unit Agreement (this “</w:t>
      </w:r>
      <w:r>
        <w:rPr>
          <w:rFonts w:ascii="Arial" w:cs="Arial" w:eastAsia="Arial" w:hAnsi="Arial"/>
          <w:sz w:val="22"/>
          <w:szCs w:val="22"/>
          <w:u w:val="single" w:color="auto"/>
          <w:color w:val="auto"/>
        </w:rPr>
        <w:t>Award Agreement</w:t>
      </w:r>
      <w:r>
        <w:rPr>
          <w:rFonts w:ascii="Arial" w:cs="Arial" w:eastAsia="Arial" w:hAnsi="Arial"/>
          <w:sz w:val="22"/>
          <w:szCs w:val="22"/>
          <w:color w:val="auto"/>
        </w:rPr>
        <w:t>”), dated as of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GXO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[NAME] sets forth the terms and conditions of an award of [NUMBER</w:t>
      </w:r>
      <w:r>
        <w:rPr>
          <w:rFonts w:ascii="Arial" w:cs="Arial" w:eastAsia="Arial" w:hAnsi="Arial"/>
          <w:sz w:val="22"/>
          <w:szCs w:val="22"/>
          <w:u w:val="single" w:color="auto"/>
          <w:color w:val="auto"/>
        </w:rPr>
        <w:t>]</w:t>
      </w:r>
      <w:r>
        <w:rPr>
          <w:rFonts w:ascii="Arial" w:cs="Arial" w:eastAsia="Arial" w:hAnsi="Arial"/>
          <w:sz w:val="22"/>
          <w:szCs w:val="22"/>
          <w:color w:val="auto"/>
        </w:rPr>
        <w:t xml:space="preserve"> performance share units (this “</w:t>
      </w:r>
      <w:r>
        <w:rPr>
          <w:rFonts w:ascii="Arial" w:cs="Arial" w:eastAsia="Arial" w:hAnsi="Arial"/>
          <w:sz w:val="22"/>
          <w:szCs w:val="22"/>
          <w:u w:val="single" w:color="auto"/>
          <w:color w:val="auto"/>
        </w:rPr>
        <w:t>Award</w:t>
      </w:r>
      <w:r>
        <w:rPr>
          <w:rFonts w:ascii="Arial" w:cs="Arial" w:eastAsia="Arial" w:hAnsi="Arial"/>
          <w:sz w:val="22"/>
          <w:szCs w:val="22"/>
          <w:color w:val="auto"/>
        </w:rPr>
        <w:t>”) that are subject to the terms and conditions specified herein (each such performance share unit, a “</w:t>
      </w:r>
      <w:r>
        <w:rPr>
          <w:rFonts w:ascii="Arial" w:cs="Arial" w:eastAsia="Arial" w:hAnsi="Arial"/>
          <w:sz w:val="22"/>
          <w:szCs w:val="22"/>
          <w:u w:val="single" w:color="auto"/>
          <w:color w:val="auto"/>
        </w:rPr>
        <w:t>PSU</w:t>
      </w:r>
      <w:r>
        <w:rPr>
          <w:rFonts w:ascii="Arial" w:cs="Arial" w:eastAsia="Arial" w:hAnsi="Arial"/>
          <w:sz w:val="22"/>
          <w:szCs w:val="22"/>
          <w:color w:val="auto"/>
        </w:rPr>
        <w:t>”) and that are granted to you under the GXO Logistics, Inc. 2021 Omnibus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Award provides you with the opportunity to earn, subject to the terms of this Award Agreement, shares of the Company’s Common Stock, $0.01 par value (each, a “</w:t>
      </w:r>
      <w:r>
        <w:rPr>
          <w:rFonts w:ascii="Arial" w:cs="Arial" w:eastAsia="Arial" w:hAnsi="Arial"/>
          <w:sz w:val="22"/>
          <w:szCs w:val="22"/>
          <w:u w:val="single" w:color="auto"/>
          <w:color w:val="auto"/>
        </w:rPr>
        <w:t>Share</w:t>
      </w:r>
      <w:r>
        <w:rPr>
          <w:rFonts w:ascii="Arial" w:cs="Arial" w:eastAsia="Arial" w:hAnsi="Arial"/>
          <w:sz w:val="22"/>
          <w:szCs w:val="22"/>
          <w:color w:val="auto"/>
        </w:rPr>
        <w:t>”), or cash, as set forth in Section 3 of this Award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u w:val="single" w:color="auto"/>
          <w:color w:val="auto"/>
        </w:rPr>
        <w:t>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made pursuant to the Plan and, to the extent applicable, the GXO Logistics, Inc. (“GXO”)</w:t>
      </w:r>
      <w:r>
        <w:rPr>
          <w:rFonts w:ascii="Arial" w:cs="Arial" w:eastAsia="Arial" w:hAnsi="Arial"/>
          <w:sz w:val="19"/>
          <w:szCs w:val="19"/>
          <w:b w:val="1"/>
          <w:bCs w:val="1"/>
          <w:color w:val="auto"/>
        </w:rPr>
        <w:t xml:space="preserve"> </w:t>
      </w:r>
      <w:r>
        <w:rPr>
          <w:rFonts w:ascii="Arial" w:cs="Arial" w:eastAsia="Arial" w:hAnsi="Arial"/>
          <w:sz w:val="19"/>
          <w:szCs w:val="19"/>
          <w:color w:val="auto"/>
        </w:rPr>
        <w:t>Global Appendix (“Global Appendix”), all the terms of which are hereby incorporated in this Award Agreement, including the provisions of Section 6(e) of the Plan. In the event of any conflict between the terms of the Plan on the one hand and the terms of this Award Agreement or the Global Appendix on the other, the terms of the Plan shall govern. By accepting this Award, you shall have confirmed your acceptance to the terms and conditions of this Award Agreement and the Global Appendix.</w:t>
      </w:r>
    </w:p>
    <w:p>
      <w:pPr>
        <w:spacing w:after="0" w:line="167"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in this Award Agreement that are not defined in this Award Agreement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meanings as used or defined in the Plan. As used in this Award Agreement, the following terms have the meanings set forth below:</w:t>
      </w:r>
    </w:p>
    <w:p>
      <w:pPr>
        <w:spacing w:after="0" w:line="186" w:lineRule="exact"/>
        <w:rPr>
          <w:sz w:val="20"/>
          <w:szCs w:val="20"/>
          <w:color w:val="auto"/>
        </w:rPr>
      </w:pPr>
    </w:p>
    <w:p>
      <w:pPr>
        <w:jc w:val="both"/>
        <w:ind w:firstLine="21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officer to whom you report; (ii) abuse of or dependency on alcohol or drugs (illicit or otherwise) that adversely affects your performance of duties for the Company or any Subsidiary; (iii) commission of any fraud, embezzlement, theft or dishonesty, or any deliberate misappropriation of money or other assets of the Company or any Subsidiary; (iv) breach of any term of any Employment Agreement or any Confidential Information Protection Agreement to which you may be party or any agreement governing long-term incentive compensation or equity compensation to which you may be party or breach of your fiduciary duties to the Company or any Subsidiary; (v) failure to provide the Company or any Subsidiary with at least 30 days’ advanced written notice of your intention to resign; (vi) any willful act, or failure to act, in bad faith to the detriment of the Company or any Subsidiary; (vii) willful failure to cooperate in good faith with a governmental or internal investigation of the Company or any Subsidiary or any of their directors, managers, officers or employees, if the Company or any Subsidiary requests your cooperation; (viii) failure to follow Company’s code of conduct or ethics policy, and (ix) conviction of, or plea of nolo contendere to, a felony or 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w:t>
      </w:r>
    </w:p>
    <w:p>
      <w:pPr>
        <w:sectPr>
          <w:pgSz w:w="11900" w:h="16838" w:orient="portrait"/>
          <w:cols w:equalWidth="0" w:num="1">
            <w:col w:w="11240"/>
          </w:cols>
          <w:pgMar w:left="320" w:top="1382"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deemed to have been terminated for Cause retroactively to the date the events giving rise to Cause occurred.</w:t>
      </w:r>
    </w:p>
    <w:p>
      <w:pPr>
        <w:spacing w:after="0" w:line="206" w:lineRule="exact"/>
        <w:rPr>
          <w:sz w:val="20"/>
          <w:szCs w:val="20"/>
          <w:color w:val="auto"/>
        </w:rPr>
      </w:pPr>
    </w:p>
    <w:p>
      <w:pPr>
        <w:jc w:val="both"/>
        <w:ind w:right="20" w:firstLine="25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Confidential Information Protection Agreement</w:t>
      </w:r>
      <w:r>
        <w:rPr>
          <w:rFonts w:ascii="Arial" w:cs="Arial" w:eastAsia="Arial" w:hAnsi="Arial"/>
          <w:sz w:val="22"/>
          <w:szCs w:val="22"/>
          <w:color w:val="auto"/>
        </w:rPr>
        <w:t>” means any individual Employment Agreement or other agreement between you and the Company or any Subsidiary that has any non-competition, non-solicitation, non-disparagement, non-disclosure, intellectual property assignment or confidentiality provisions.</w:t>
      </w:r>
    </w:p>
    <w:p>
      <w:pPr>
        <w:spacing w:after="0" w:line="186" w:lineRule="exact"/>
        <w:rPr>
          <w:sz w:val="20"/>
          <w:szCs w:val="20"/>
          <w:color w:val="auto"/>
        </w:rPr>
      </w:pPr>
    </w:p>
    <w:p>
      <w:pPr>
        <w:jc w:val="both"/>
        <w:ind w:firstLine="25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Determination Date</w:t>
      </w:r>
      <w:r>
        <w:rPr>
          <w:rFonts w:ascii="Arial" w:cs="Arial" w:eastAsia="Arial" w:hAnsi="Arial"/>
          <w:sz w:val="22"/>
          <w:szCs w:val="22"/>
          <w:color w:val="auto"/>
        </w:rPr>
        <w:t>” means the date following the completion of the Performance Period on which the Committee certifies the level of achievement of the applicable Performance Goals, which shall be no later than March 10 immediately following the Performance Period.</w:t>
      </w:r>
    </w:p>
    <w:p>
      <w:pPr>
        <w:spacing w:after="0" w:line="186"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Employment Agreement</w:t>
      </w:r>
      <w:r>
        <w:rPr>
          <w:rFonts w:ascii="Arial" w:cs="Arial" w:eastAsia="Arial" w:hAnsi="Arial"/>
          <w:sz w:val="22"/>
          <w:szCs w:val="22"/>
          <w:color w:val="auto"/>
        </w:rPr>
        <w:t>” means any individual offer letter or employment agreement between you and the Company or any Subsidiary.</w:t>
      </w:r>
    </w:p>
    <w:p>
      <w:pPr>
        <w:spacing w:after="0" w:line="186" w:lineRule="exact"/>
        <w:rPr>
          <w:sz w:val="20"/>
          <w:szCs w:val="20"/>
          <w:color w:val="auto"/>
        </w:rPr>
      </w:pPr>
    </w:p>
    <w:p>
      <w:pPr>
        <w:jc w:val="both"/>
        <w:ind w:firstLine="256"/>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Good Reason</w:t>
      </w:r>
      <w:r>
        <w:rPr>
          <w:rFonts w:ascii="Arial" w:cs="Arial" w:eastAsia="Arial" w:hAnsi="Arial"/>
          <w:sz w:val="19"/>
          <w:szCs w:val="19"/>
          <w:color w:val="auto"/>
        </w:rPr>
        <w:t>” means, without first obtaining your written consent: (i) a material reduction of your annual base salary from that in effect immediately prior to the Change of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of Control (or, if higher, that in effect at any time thereafter); or</w:t>
      </w:r>
    </w:p>
    <w:p>
      <w:pPr>
        <w:spacing w:after="0" w:line="1" w:lineRule="exact"/>
        <w:rPr>
          <w:sz w:val="20"/>
          <w:szCs w:val="20"/>
          <w:color w:val="auto"/>
        </w:rPr>
      </w:pPr>
    </w:p>
    <w:p>
      <w:pPr>
        <w:jc w:val="both"/>
        <w:ind w:firstLine="8"/>
        <w:spacing w:after="0" w:line="242" w:lineRule="auto"/>
        <w:tabs>
          <w:tab w:leader="none" w:pos="414"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material, adverse change in your title, reporting relationship, authority, duties, or responsibilities from those in effect immediately prior to the Change of Control; provided that, the Company shall first be provided a 30-day cure period (the “</w:t>
      </w:r>
      <w:r>
        <w:rPr>
          <w:rFonts w:ascii="Arial" w:cs="Arial" w:eastAsia="Arial" w:hAnsi="Arial"/>
          <w:sz w:val="19"/>
          <w:szCs w:val="19"/>
          <w:u w:val="single" w:color="auto"/>
          <w:color w:val="auto"/>
        </w:rPr>
        <w:t>Cure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 30-day period that follows the end of the Cure Period. If you do not terminate employment during such 30-day period, you will not be permitted to terminate employment for Good Reason as a result of such event, circumstance or conduct.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Performance Goal</w:t>
      </w:r>
      <w:r>
        <w:rPr>
          <w:rFonts w:ascii="Arial" w:cs="Arial" w:eastAsia="Arial" w:hAnsi="Arial"/>
          <w:sz w:val="22"/>
          <w:szCs w:val="22"/>
          <w:color w:val="auto"/>
        </w:rPr>
        <w:t>” means the Performance Goals set forth in Exhibit A to this Award Agreement.</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Performance Period</w:t>
      </w:r>
      <w:r>
        <w:rPr>
          <w:rFonts w:ascii="Arial" w:cs="Arial" w:eastAsia="Arial" w:hAnsi="Arial"/>
          <w:sz w:val="22"/>
          <w:szCs w:val="22"/>
          <w:color w:val="auto"/>
        </w:rPr>
        <w:t>” means [ ].</w:t>
      </w:r>
    </w:p>
    <w:p>
      <w:pPr>
        <w:spacing w:after="0" w:line="206" w:lineRule="exact"/>
        <w:rPr>
          <w:sz w:val="20"/>
          <w:szCs w:val="20"/>
          <w:color w:val="auto"/>
        </w:rPr>
      </w:pPr>
    </w:p>
    <w:p>
      <w:pPr>
        <w:jc w:val="both"/>
        <w:ind w:firstLine="21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Pro Rata Percentage</w:t>
      </w:r>
      <w:r>
        <w:rPr>
          <w:rFonts w:ascii="Arial" w:cs="Arial" w:eastAsia="Arial" w:hAnsi="Arial"/>
          <w:sz w:val="22"/>
          <w:szCs w:val="22"/>
          <w:color w:val="auto"/>
        </w:rPr>
        <w:t>” means the percentage calculated by dividing (i) the number of days between the Grant Date through the date your employment is terminated by (ii) the number of days in the Performance Period.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Service Vesting Date</w:t>
      </w:r>
      <w:r>
        <w:rPr>
          <w:rFonts w:ascii="Arial" w:cs="Arial" w:eastAsia="Arial" w:hAnsi="Arial"/>
          <w:sz w:val="22"/>
          <w:szCs w:val="22"/>
          <w:color w:val="auto"/>
        </w:rPr>
        <w:t>” means [ ].</w:t>
      </w:r>
    </w:p>
    <w:p>
      <w:pPr>
        <w:spacing w:after="0" w:line="206" w:lineRule="exact"/>
        <w:rPr>
          <w:sz w:val="20"/>
          <w:szCs w:val="20"/>
          <w:color w:val="auto"/>
        </w:rPr>
      </w:pPr>
    </w:p>
    <w:p>
      <w:pPr>
        <w:jc w:val="both"/>
        <w:ind w:firstLine="243"/>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Settlement Date</w:t>
      </w:r>
      <w:r>
        <w:rPr>
          <w:rFonts w:ascii="Arial" w:cs="Arial" w:eastAsia="Arial" w:hAnsi="Arial"/>
          <w:sz w:val="22"/>
          <w:szCs w:val="22"/>
          <w:color w:val="auto"/>
        </w:rPr>
        <w:t>” means as soon as administratively practicable following the vesting of any Restricted Stock Units pursuant to Section 3 but in no event later than seventy-five (75) days after such applicable Vesting Date (for the avoidance of doubt, this deadline is intended to comply with the “short-term deferral” exemption from Section 409A of the Code for Holders subject thereto).</w:t>
      </w:r>
    </w:p>
    <w:p>
      <w:pPr>
        <w:spacing w:after="0" w:line="188" w:lineRule="exact"/>
        <w:rPr>
          <w:sz w:val="20"/>
          <w:szCs w:val="20"/>
          <w:color w:val="auto"/>
        </w:rPr>
      </w:pPr>
    </w:p>
    <w:p>
      <w:pPr>
        <w:jc w:val="both"/>
        <w:ind w:firstLine="25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Vesting Date</w:t>
      </w:r>
      <w:r>
        <w:rPr>
          <w:rFonts w:ascii="Arial" w:cs="Arial" w:eastAsia="Arial" w:hAnsi="Arial"/>
          <w:sz w:val="22"/>
          <w:szCs w:val="22"/>
          <w:color w:val="auto"/>
        </w:rPr>
        <w:t>” means the date on which both the service requirement and the Performance Goals are met as forth in Section 3(a)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1" w:right="339" w:bottom="1440" w:gutter="0" w:footer="0" w:header="0"/>
        </w:sectPr>
      </w:pPr>
    </w:p>
    <w:bookmarkStart w:id="56" w:name="page57"/>
    <w:bookmarkEnd w:id="56"/>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u w:val="single" w:color="auto"/>
          <w:color w:val="auto"/>
        </w:rPr>
        <w:t>Vesting Schedule and Settlement</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47" w:lineRule="auto"/>
        <w:tabs>
          <w:tab w:leader="none" w:pos="123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this Award Agreement, subject to (i) your continued employment with the Company through the Service Vesting Date, and (ii) subject to the achievement of the Performance Goals set forth in Exhibit A of this Award Agreement as determined at the sole discretion of the Compensation Committee, you shall vest in the PSUs subject to this Award Agreement on [ ]. Except as otherwise provided in this Award Agreement, no PSUs shall be earned and payable unless the Committee has certified the level of achievement of the applicable Performance Goals. The Committee shall have sole discretion to determine the level of achievement of the applicable Performance Goals. Any PSUs that do not vest upon the conclusion of the Performance Period shall be forfeited immediately following the conclusion of the Performance Period.</w:t>
      </w:r>
    </w:p>
    <w:p>
      <w:pPr>
        <w:spacing w:after="0" w:line="180" w:lineRule="exact"/>
        <w:rPr>
          <w:rFonts w:ascii="Arial" w:cs="Arial" w:eastAsia="Arial" w:hAnsi="Arial"/>
          <w:sz w:val="19"/>
          <w:szCs w:val="19"/>
          <w:color w:val="auto"/>
        </w:rPr>
      </w:pPr>
    </w:p>
    <w:p>
      <w:pPr>
        <w:jc w:val="both"/>
        <w:ind w:firstLine="656"/>
        <w:spacing w:after="0" w:line="252" w:lineRule="auto"/>
        <w:tabs>
          <w:tab w:leader="none" w:pos="1237"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Your employment with the Company and its Affiliates shall be deemed to terminate as of the date you are no longer actively providing services to the Company or any of its Affiliates (regardless of the reason for the termination and whether or not later found to be invalid or in breach of applicable laws or the terms of your employment or other service agreement, if any) and shall not, subject to applicable laws, be extended by any required notice period (e.g., garden leave). Notwithstanding anything to the contrary in this Award Agreement or the Plan:</w:t>
      </w:r>
    </w:p>
    <w:p>
      <w:pPr>
        <w:spacing w:after="0" w:line="175" w:lineRule="exact"/>
        <w:rPr>
          <w:rFonts w:ascii="Arial" w:cs="Arial" w:eastAsia="Arial" w:hAnsi="Arial"/>
          <w:sz w:val="19"/>
          <w:szCs w:val="19"/>
          <w:color w:val="auto"/>
        </w:rPr>
      </w:pPr>
    </w:p>
    <w:p>
      <w:pPr>
        <w:jc w:val="both"/>
        <w:ind w:firstLine="1304"/>
        <w:spacing w:after="0" w:line="212" w:lineRule="auto"/>
        <w:tabs>
          <w:tab w:leader="none" w:pos="1878"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your employment terminates by reason of your death, you shall vest in the greater of (A) the number of PSUs based on the actual achievement of the Performance Goals the Compensation Committee in its sole discretion determines can be measured at such time, and (B) the number of PSUs that would vest based on the Performance Goals being achieved at target performance at the time of your death. To the extent that the Compensation determines that the actual achievement of the Performance Goals cannot be determined at such time, you shall vest based on the Performance Goals being achieved at target performance at the time of your death. Any portion of this Award that does not vest pursuant to this Section 3(b)(i) shall be forfeited;</w:t>
      </w:r>
    </w:p>
    <w:p>
      <w:pPr>
        <w:spacing w:after="0" w:line="190" w:lineRule="exact"/>
        <w:rPr>
          <w:rFonts w:ascii="Arial" w:cs="Arial" w:eastAsia="Arial" w:hAnsi="Arial"/>
          <w:sz w:val="22"/>
          <w:szCs w:val="22"/>
          <w:color w:val="auto"/>
        </w:rPr>
      </w:pPr>
    </w:p>
    <w:p>
      <w:pPr>
        <w:ind w:right="20" w:firstLine="1304"/>
        <w:spacing w:after="0" w:line="213" w:lineRule="auto"/>
        <w:tabs>
          <w:tab w:leader="none" w:pos="1897"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your employment is terminated by the Company or any Subsidiary for Cause or if you resign for any reason, all unvested PSUs shall be immediately forfeited;</w:t>
      </w:r>
    </w:p>
    <w:p>
      <w:pPr>
        <w:jc w:val="both"/>
        <w:ind w:firstLine="1304"/>
        <w:spacing w:after="0" w:line="251" w:lineRule="auto"/>
        <w:tabs>
          <w:tab w:leader="none" w:pos="1917" w:val="left"/>
        </w:tabs>
        <w:numPr>
          <w:ilvl w:val="1"/>
          <w:numId w:val="44"/>
        </w:numPr>
        <w:rPr>
          <w:rFonts w:ascii="Arial" w:cs="Arial" w:eastAsia="Arial" w:hAnsi="Arial"/>
          <w:sz w:val="19"/>
          <w:szCs w:val="19"/>
          <w:color w:val="auto"/>
        </w:rPr>
      </w:pPr>
      <w:r>
        <w:rPr>
          <w:rFonts w:ascii="Arial" w:cs="Arial" w:eastAsia="Arial" w:hAnsi="Arial"/>
          <w:sz w:val="19"/>
          <w:szCs w:val="19"/>
          <w:color w:val="auto"/>
        </w:rPr>
        <w:t>subject to the Release Requirement in Section 3(c), if your employment terminates for any reason not described in clauses (i), (ii) or (iv) of this Section 3(b), you shall remain eligible to vest in a prorated portion of the PSUs, based on the level of achievement of the Performance Goals for such Performance Period multiplied by the Pro Rata Percentage, which vesting shall occur on the Determination Date, and the remainder of this Award shall be forfeited; or</w:t>
      </w:r>
    </w:p>
    <w:p>
      <w:pPr>
        <w:spacing w:after="0" w:line="174" w:lineRule="exact"/>
        <w:rPr>
          <w:rFonts w:ascii="Arial" w:cs="Arial" w:eastAsia="Arial" w:hAnsi="Arial"/>
          <w:sz w:val="19"/>
          <w:szCs w:val="19"/>
          <w:color w:val="auto"/>
        </w:rPr>
      </w:pPr>
    </w:p>
    <w:p>
      <w:pPr>
        <w:jc w:val="both"/>
        <w:ind w:firstLine="1304"/>
        <w:spacing w:after="0" w:line="247" w:lineRule="auto"/>
        <w:tabs>
          <w:tab w:leader="none" w:pos="1878" w:val="left"/>
        </w:tabs>
        <w:numPr>
          <w:ilvl w:val="1"/>
          <w:numId w:val="44"/>
        </w:numPr>
        <w:rPr>
          <w:rFonts w:ascii="Arial" w:cs="Arial" w:eastAsia="Arial" w:hAnsi="Arial"/>
          <w:sz w:val="19"/>
          <w:szCs w:val="19"/>
          <w:color w:val="auto"/>
        </w:rPr>
      </w:pPr>
      <w:r>
        <w:rPr>
          <w:rFonts w:ascii="Arial" w:cs="Arial" w:eastAsia="Arial" w:hAnsi="Arial"/>
          <w:sz w:val="19"/>
          <w:szCs w:val="19"/>
          <w:color w:val="auto"/>
        </w:rPr>
        <w:t>in the event that your employment is terminated by the Company without Cause or by you for Good Reason at any time following a Change of Control, you shall vest in the greater of (A) the number of PSUs based on the actual achievement of the Performance Goals the Compensation Committee in its sole discretion determines can be measured at such time, and (B) the number of PSUs that would vest based on the Performance Goals being achieved at target performance. To the extent that the Committee determines that the actual achievement of the Performance Goals cannot be determined at such time, you shall vest based on the Performance Goals being achieved at target performance. Such vesting shall occur at such time your employment terminates. Any portion of this Award that does not vest pursuant to this Section 3(b)(iv) shall be forfeited.</w:t>
      </w:r>
    </w:p>
    <w:p>
      <w:pPr>
        <w:spacing w:after="0" w:line="180" w:lineRule="exact"/>
        <w:rPr>
          <w:rFonts w:ascii="Arial" w:cs="Arial" w:eastAsia="Arial" w:hAnsi="Arial"/>
          <w:sz w:val="19"/>
          <w:szCs w:val="19"/>
          <w:color w:val="auto"/>
        </w:rPr>
      </w:pPr>
    </w:p>
    <w:p>
      <w:pPr>
        <w:ind w:firstLine="656"/>
        <w:spacing w:after="0" w:line="232" w:lineRule="auto"/>
        <w:tabs>
          <w:tab w:leader="none" w:pos="125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Release Requirement.</w:t>
      </w:r>
      <w:r>
        <w:rPr>
          <w:rFonts w:ascii="Arial" w:cs="Arial" w:eastAsia="Arial" w:hAnsi="Arial"/>
          <w:sz w:val="22"/>
          <w:szCs w:val="22"/>
          <w:color w:val="auto"/>
        </w:rPr>
        <w:t xml:space="preserve"> To the extent permissible under applicable law, the Company may, at the Company’s sole discretion, condition the vesting treatment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49" w:lineRule="auto"/>
        <w:rPr>
          <w:sz w:val="20"/>
          <w:szCs w:val="20"/>
          <w:color w:val="auto"/>
        </w:rPr>
      </w:pPr>
      <w:r>
        <w:rPr>
          <w:rFonts w:ascii="Arial" w:cs="Arial" w:eastAsia="Arial" w:hAnsi="Arial"/>
          <w:sz w:val="19"/>
          <w:szCs w:val="19"/>
          <w:color w:val="auto"/>
        </w:rPr>
        <w:t>Section 3(b)(iii) upon your (or your estate’s) timely execution, delivery and non-revocation of a general release of claims against the Company and each Subsidiary and Affiliate of the Company in a form to be provided by the Company (the “</w:t>
      </w:r>
      <w:r>
        <w:rPr>
          <w:rFonts w:ascii="Arial" w:cs="Arial" w:eastAsia="Arial" w:hAnsi="Arial"/>
          <w:sz w:val="19"/>
          <w:szCs w:val="19"/>
          <w:u w:val="single" w:color="auto"/>
          <w:color w:val="auto"/>
        </w:rPr>
        <w:t>Release</w:t>
      </w:r>
      <w:r>
        <w:rPr>
          <w:rFonts w:ascii="Arial" w:cs="Arial" w:eastAsia="Arial" w:hAnsi="Arial"/>
          <w:sz w:val="19"/>
          <w:szCs w:val="19"/>
          <w:color w:val="auto"/>
        </w:rPr>
        <w:t>”) and your continued compliance with any Confidential Information Protection Agreement (the “</w:t>
      </w:r>
      <w:r>
        <w:rPr>
          <w:rFonts w:ascii="Arial" w:cs="Arial" w:eastAsia="Arial" w:hAnsi="Arial"/>
          <w:sz w:val="19"/>
          <w:szCs w:val="19"/>
          <w:u w:val="single" w:color="auto"/>
          <w:color w:val="auto"/>
        </w:rPr>
        <w:t>Release Requirement</w:t>
      </w:r>
      <w:r>
        <w:rPr>
          <w:rFonts w:ascii="Arial" w:cs="Arial" w:eastAsia="Arial" w:hAnsi="Arial"/>
          <w:sz w:val="19"/>
          <w:szCs w:val="19"/>
          <w:color w:val="auto"/>
        </w:rPr>
        <w:t>”). If you are a taxpayer in the United States, to the extent the Release Requirement is applicable, the Release shall be delivered to you (or your estate’s) within fourteen (14) business days following the termination date, and you shall have seven (7) days thereafter (or up to 45 days, if necessary to comply with applicable law) to execute and deliver the Release to the Company (the “</w:t>
      </w:r>
      <w:r>
        <w:rPr>
          <w:rFonts w:ascii="Arial" w:cs="Arial" w:eastAsia="Arial" w:hAnsi="Arial"/>
          <w:sz w:val="19"/>
          <w:szCs w:val="19"/>
          <w:u w:val="single" w:color="auto"/>
          <w:color w:val="auto"/>
        </w:rPr>
        <w:t>Release Period</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6" w:lineRule="auto"/>
        <w:tabs>
          <w:tab w:leader="none" w:pos="123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Settlement of PSU Award.</w:t>
      </w:r>
      <w:r>
        <w:rPr>
          <w:rFonts w:ascii="Arial" w:cs="Arial" w:eastAsia="Arial" w:hAnsi="Arial"/>
          <w:sz w:val="21"/>
          <w:szCs w:val="21"/>
          <w:color w:val="auto"/>
        </w:rPr>
        <w:t xml:space="preserve"> On the Settlement Date, the Company shall deliver to you or your legal representative either (i) one Share or (ii) if not prohibited under the terms of the Global Appendix, a cash payment equal to the Fair Market Value determined as of the Settlement Date of one Share, in each case, for each PSU that has vested in accordance with the terms of this Award Agreement; provided that, subject to the foregoing, the Company shall have sole discretion to determine whether to settle such PSUs in Shares, cash or a combination thereof.</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Forfeiture of PSUs.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(a)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w:t>
      </w:r>
    </w:p>
    <w:p>
      <w:pPr>
        <w:jc w:val="both"/>
        <w:ind w:firstLine="8"/>
        <w:spacing w:after="0" w:line="220" w:lineRule="auto"/>
        <w:tabs>
          <w:tab w:leader="none" w:pos="31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engage in fraud or willful misconduct that contributes materially to any financial restatement or material loss to the Company or any Subsidiary, your rights with respect to the PSUs shall immediately terminate, and you shall be entitled to no further payments or benefits with respect thereto and, if the PSUs are vested and/or settled, the Company may require you to forfeit or remit to the Company any amount payable, or the after-tax net amount paid or received by you, in respect of any PSUs; provided, however, that (i) the Company shall make such demand that you forfeit or remit any such amount no later than six (6) months after learning of the conduct described in this Section 4 and (ii) in cases where cure is possible, you shall first be provided a 15-day cure period to cease, and to cure, such conduct.</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You shall not have any rights or privileges of a stockholder with respect to the PSUs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this Award Agreement unless and until Shares are actually issued in book-entry form to you or your legal representative in settlement of this Award.</w:t>
      </w:r>
    </w:p>
    <w:p>
      <w:pPr>
        <w:spacing w:after="0" w:line="180"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Non-Transferability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provided by the Committee in its discretion, PSUs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alienated, transferred, pledged, attached or otherwise encumbered except as provided in Section 9(a) of the Plan. Any purported sale, assignment, alienation, transfer, pledge, attachment, or other encumbrance of PSUs in violation of the provisions of this Section 6 and Section 9(a) of the Plan shall be void.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u w:val="single" w:color="auto"/>
          <w:color w:val="auto"/>
        </w:rPr>
        <w:t>Tax Obligations.</w:t>
      </w:r>
    </w:p>
    <w:p>
      <w:pPr>
        <w:spacing w:after="0" w:line="212" w:lineRule="exact"/>
        <w:rPr>
          <w:sz w:val="20"/>
          <w:szCs w:val="20"/>
          <w:color w:val="auto"/>
        </w:rPr>
      </w:pPr>
    </w:p>
    <w:p>
      <w:pPr>
        <w:jc w:val="both"/>
        <w:ind w:firstLine="656"/>
        <w:spacing w:after="0" w:line="247"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You acknowledge that, regardless of any action taken by the Company, or, if different, the Affiliate of the Company that employs you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(including U.S. federal, state and local taxes or non-U.S. taxes), social insurance, payroll tax, fringe benefit, payment on account or other tax-related items resulting from the PSUs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PSUs or the underlying Shares, including, but not limited to, the grant, vesting or settlement of the PSUs, the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1" w:right="339" w:bottom="1440" w:gutter="0" w:footer="0" w:header="0"/>
        </w:sectPr>
      </w:pPr>
    </w:p>
    <w:bookmarkStart w:id="58" w:name="page59"/>
    <w:bookmarkEnd w:id="58"/>
    <w:p>
      <w:pPr>
        <w:jc w:val="both"/>
        <w:spacing w:after="0" w:line="216" w:lineRule="auto"/>
        <w:rPr>
          <w:sz w:val="20"/>
          <w:szCs w:val="20"/>
          <w:color w:val="auto"/>
        </w:rPr>
      </w:pPr>
      <w:r>
        <w:rPr>
          <w:rFonts w:ascii="Arial" w:cs="Arial" w:eastAsia="Arial" w:hAnsi="Arial"/>
          <w:sz w:val="22"/>
          <w:szCs w:val="22"/>
          <w:color w:val="auto"/>
        </w:rPr>
        <w:t>sale of Shares acquired pursuant to such settlement and the receipt of any dividends; and (ii) do not commit to and are under no obligation to structure the terms of the grant or any aspect of the PSUs to reduce or eliminate your liability for Tax-Related Items or achieve any particular tax result. Further, if you are subject to Tax-Related Items in more than one jurisdiction, your acknowledge that the Company and/or the Employer (or former employer, as applicable) may be required to withhold or account for Tax-Related Items in more than one jurisdiction.</w:t>
      </w:r>
    </w:p>
    <w:p>
      <w:pPr>
        <w:spacing w:after="0" w:line="158" w:lineRule="exact"/>
        <w:rPr>
          <w:sz w:val="20"/>
          <w:szCs w:val="20"/>
          <w:color w:val="auto"/>
        </w:rPr>
      </w:pPr>
    </w:p>
    <w:p>
      <w:pPr>
        <w:jc w:val="both"/>
        <w:ind w:firstLine="656"/>
        <w:spacing w:after="0" w:line="218" w:lineRule="auto"/>
        <w:tabs>
          <w:tab w:leader="none" w:pos="12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or rights with regard to all Tax-Related Items by one or a combination of:</w:t>
      </w:r>
    </w:p>
    <w:p>
      <w:pPr>
        <w:spacing w:after="0" w:line="160" w:lineRule="exact"/>
        <w:rPr>
          <w:rFonts w:ascii="Arial" w:cs="Arial" w:eastAsia="Arial" w:hAnsi="Arial"/>
          <w:sz w:val="22"/>
          <w:szCs w:val="22"/>
          <w:color w:val="auto"/>
        </w:rPr>
      </w:pPr>
    </w:p>
    <w:p>
      <w:pPr>
        <w:ind w:left="1880" w:hanging="576"/>
        <w:spacing w:after="0"/>
        <w:tabs>
          <w:tab w:leader="none" w:pos="1880" w:val="left"/>
        </w:tabs>
        <w:numPr>
          <w:ilvl w:val="1"/>
          <w:numId w:val="48"/>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payable to you by the Company or its Affiliates;</w:t>
      </w:r>
    </w:p>
    <w:p>
      <w:pPr>
        <w:spacing w:after="0" w:line="213" w:lineRule="exact"/>
        <w:rPr>
          <w:rFonts w:ascii="Arial" w:cs="Arial" w:eastAsia="Arial" w:hAnsi="Arial"/>
          <w:sz w:val="19"/>
          <w:szCs w:val="19"/>
          <w:color w:val="auto"/>
        </w:rPr>
      </w:pPr>
    </w:p>
    <w:p>
      <w:pPr>
        <w:ind w:left="1900" w:hanging="596"/>
        <w:spacing w:after="0"/>
        <w:tabs>
          <w:tab w:leader="none" w:pos="19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withholding Shares that otherwise would be issued to you when your PSUs are settled;</w:t>
      </w:r>
    </w:p>
    <w:p>
      <w:pPr>
        <w:spacing w:after="0" w:line="179" w:lineRule="exact"/>
        <w:rPr>
          <w:rFonts w:ascii="Arial" w:cs="Arial" w:eastAsia="Arial" w:hAnsi="Arial"/>
          <w:sz w:val="22"/>
          <w:szCs w:val="22"/>
          <w:color w:val="auto"/>
        </w:rPr>
      </w:pPr>
    </w:p>
    <w:p>
      <w:pPr>
        <w:ind w:firstLine="1304"/>
        <w:spacing w:after="0" w:line="232" w:lineRule="auto"/>
        <w:tabs>
          <w:tab w:leader="none" w:pos="1917"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withholding from proceeds of the sale of Shares, through a voluntary sale or through a mandatory sale arranged by the Company (on your behalf pursuant to this authorization without further consent);</w:t>
      </w:r>
    </w:p>
    <w:p>
      <w:pPr>
        <w:spacing w:after="0" w:line="158" w:lineRule="exact"/>
        <w:rPr>
          <w:rFonts w:ascii="Arial" w:cs="Arial" w:eastAsia="Arial" w:hAnsi="Arial"/>
          <w:sz w:val="22"/>
          <w:szCs w:val="22"/>
          <w:color w:val="auto"/>
        </w:rPr>
      </w:pPr>
    </w:p>
    <w:p>
      <w:pPr>
        <w:ind w:left="1880" w:hanging="576"/>
        <w:spacing w:after="0"/>
        <w:tabs>
          <w:tab w:leader="none" w:pos="1880"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requiring you to make a payment in cash or by check;</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reducing the amount of any cash otherwise payable to you with respect to the PSUs (if any);</w:t>
      </w:r>
    </w:p>
    <w:p>
      <w:pPr>
        <w:spacing w:after="0" w:line="179" w:lineRule="exact"/>
        <w:rPr>
          <w:rFonts w:ascii="Arial" w:cs="Arial" w:eastAsia="Arial" w:hAnsi="Arial"/>
          <w:sz w:val="22"/>
          <w:szCs w:val="22"/>
          <w:color w:val="auto"/>
        </w:rPr>
      </w:pPr>
    </w:p>
    <w:p>
      <w:pPr>
        <w:ind w:firstLine="1304"/>
        <w:spacing w:after="0" w:line="232" w:lineRule="auto"/>
        <w:tabs>
          <w:tab w:leader="none" w:pos="1878"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other method of withholding approved by the Company and to the extent required by applicable laws or the Plan, approved by the Committee; or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8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and in each case, under such rules as may be established by the Committee and in compliance with the Company’s insider trading policy;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otherwise determined by the Committee, if you are a Section 16 officer of the Company under the Exchange Act, then the method of withholding shall be through a withholding of Shares under (ii) above.</w:t>
      </w:r>
    </w:p>
    <w:p>
      <w:pPr>
        <w:spacing w:after="0" w:line="160" w:lineRule="exact"/>
        <w:rPr>
          <w:rFonts w:ascii="Arial" w:cs="Arial" w:eastAsia="Arial" w:hAnsi="Arial"/>
          <w:sz w:val="22"/>
          <w:szCs w:val="22"/>
          <w:color w:val="auto"/>
        </w:rPr>
      </w:pPr>
    </w:p>
    <w:p>
      <w:pPr>
        <w:jc w:val="both"/>
        <w:ind w:right="20" w:firstLine="656"/>
        <w:spacing w:after="0" w:line="223" w:lineRule="auto"/>
        <w:tabs>
          <w:tab w:leader="none" w:pos="1266"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Notwithstanding any contrary provision of the Plan or this Award Agreement, if you fail to make satisfactory arrangements for the payment of any withholding tax liability when due, the Company may refuse to issue or deliver the Shares or treat some or all of the PSUs and the Shares underlying the PSUs as forfeited.</w:t>
      </w:r>
    </w:p>
    <w:p>
      <w:pPr>
        <w:spacing w:after="0" w:line="153" w:lineRule="exact"/>
        <w:rPr>
          <w:sz w:val="20"/>
          <w:szCs w:val="20"/>
          <w:color w:val="auto"/>
        </w:rPr>
      </w:pPr>
    </w:p>
    <w:p>
      <w:pPr>
        <w:jc w:val="both"/>
        <w:spacing w:after="0" w:line="222"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21"/>
          <w:szCs w:val="21"/>
          <w:u w:val="single" w:color="auto"/>
          <w:color w:val="auto"/>
        </w:rPr>
        <w:t>Trade Monitoring Policy.</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required to maintain a securities brokerage account with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broker in order to receive any Shares issuable under this Award, in accordance with the Company securities trade monitoring policy (the “</w:t>
      </w:r>
      <w:r>
        <w:rPr>
          <w:rFonts w:ascii="Arial" w:cs="Arial" w:eastAsia="Arial" w:hAnsi="Arial"/>
          <w:sz w:val="21"/>
          <w:szCs w:val="21"/>
          <w:u w:val="single" w:color="auto"/>
          <w:color w:val="auto"/>
        </w:rPr>
        <w:t>Trade Monitoring Policy</w:t>
      </w:r>
      <w:r>
        <w:rPr>
          <w:rFonts w:ascii="Arial" w:cs="Arial" w:eastAsia="Arial" w:hAnsi="Arial"/>
          <w:sz w:val="21"/>
          <w:szCs w:val="21"/>
          <w:color w:val="auto"/>
        </w:rPr>
        <w:t>”).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Trade Monitoring Policy, and that this Award, and the value of any Shares issued pursuant to this Award Agreement, shall be subject to forfeiture or recoupment by the Company, as applicable, in the event of your noncompliance with the Trade Monitoring Policy, as it may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1" w:right="339" w:bottom="1440" w:gutter="0" w:footer="0" w:header="0"/>
        </w:sectPr>
      </w:pPr>
    </w:p>
    <w:bookmarkStart w:id="59" w:name="page60"/>
    <w:bookmarkEnd w:id="59"/>
    <w:p>
      <w:pPr>
        <w:jc w:val="both"/>
        <w:spacing w:after="0" w:line="220" w:lineRule="auto"/>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u w:val="single" w:color="auto"/>
          <w:color w:val="auto"/>
        </w:rPr>
        <w:t>Currency Risk.</w:t>
      </w:r>
      <w:r>
        <w:rPr>
          <w:rFonts w:ascii="Arial" w:cs="Arial" w:eastAsia="Arial" w:hAnsi="Arial"/>
          <w:sz w:val="22"/>
          <w:szCs w:val="22"/>
          <w:b w:val="1"/>
          <w:bCs w:val="1"/>
          <w:color w:val="auto"/>
        </w:rPr>
        <w:t xml:space="preserve"> </w:t>
      </w:r>
      <w:r>
        <w:rPr>
          <w:rFonts w:ascii="Arial" w:cs="Arial" w:eastAsia="Arial" w:hAnsi="Arial"/>
          <w:sz w:val="22"/>
          <w:szCs w:val="22"/>
          <w:color w:val="auto"/>
        </w:rPr>
        <w:t>You accept that if the Shares subject to your Award are traded in a currency which is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spacing w:after="0" w:line="179" w:lineRule="exact"/>
        <w:rPr>
          <w:sz w:val="20"/>
          <w:szCs w:val="20"/>
          <w:color w:val="auto"/>
        </w:rPr>
      </w:pPr>
    </w:p>
    <w:p>
      <w:pPr>
        <w:jc w:val="both"/>
        <w:ind w:right="220"/>
        <w:spacing w:after="0" w:line="220" w:lineRule="auto"/>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PSUs and the Shares issuable thereunder,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u w:val="single" w:color="auto"/>
          <w:color w:val="auto"/>
        </w:rPr>
        <w:t>Section 280G.</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Award Agreement to the contrary and regardless of</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(a) constitute “parachute payments” within the meaning of Section 280G of the Code, and (b)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11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11,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11, and the Company shall bear the cost of all fees the Accounting Firm charges in connection with any calculations contemplated by this Section 11. In connection with making determinations under this Section 11,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200" w:lineRule="exact"/>
        <w:rPr>
          <w:sz w:val="20"/>
          <w:szCs w:val="20"/>
          <w:color w:val="auto"/>
        </w:rPr>
      </w:pPr>
    </w:p>
    <w:p>
      <w:pPr>
        <w:spacing w:after="0" w:line="20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b w:val="1"/>
          <w:bCs w:val="1"/>
          <w:color w:val="auto"/>
        </w:rPr>
        <w:t xml:space="preserve">SECTION 12. </w:t>
      </w:r>
      <w:r>
        <w:rPr>
          <w:rFonts w:ascii="Arial" w:cs="Arial" w:eastAsia="Arial" w:hAnsi="Arial"/>
          <w:sz w:val="21"/>
          <w:szCs w:val="21"/>
          <w:u w:val="single" w:color="auto"/>
          <w:color w:val="auto"/>
        </w:rPr>
        <w:t>Code Section 409A; No Deferral of Compensation</w:t>
      </w:r>
      <w:r>
        <w:rPr>
          <w:rFonts w:ascii="Arial" w:cs="Arial" w:eastAsia="Arial" w:hAnsi="Arial"/>
          <w:sz w:val="21"/>
          <w:szCs w:val="21"/>
          <w:color w:val="auto"/>
        </w:rPr>
        <w:t>. Neither the Plan nor this Award Agreement is intended</w:t>
      </w:r>
      <w:r>
        <w:rPr>
          <w:rFonts w:ascii="Arial" w:cs="Arial" w:eastAsia="Arial" w:hAnsi="Arial"/>
          <w:sz w:val="21"/>
          <w:szCs w:val="21"/>
          <w:b w:val="1"/>
          <w:bCs w:val="1"/>
          <w:color w:val="auto"/>
        </w:rPr>
        <w:t xml:space="preserve"> </w:t>
      </w:r>
      <w:r>
        <w:rPr>
          <w:rFonts w:ascii="Arial" w:cs="Arial" w:eastAsia="Arial" w:hAnsi="Arial"/>
          <w:sz w:val="21"/>
          <w:szCs w:val="21"/>
          <w:color w:val="auto"/>
        </w:rPr>
        <w:t>to provide for the deferral of compensation within the meaning of Code Section 409A. If the Company determines that this Award Agreement is subject to Code Section 409A and that it has failed to comply with the requirements of Code Section 409A, the Company may, at the Company’s sole discretion and without your consent, amend the Award Agreement to cause the terms and conditions of the Award Agreement to comply with Code Section 409A or be exempt from Code Section 409A. If it is determined that this Award is subject to Section 409A and you are a “Specified Employee” (within the meaning set forth in Section 409A(a)(2)(B)(i) of the Code) as of the date of your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47" w:lineRule="auto"/>
        <w:rPr>
          <w:sz w:val="20"/>
          <w:szCs w:val="20"/>
          <w:color w:val="auto"/>
        </w:rPr>
      </w:pPr>
      <w:r>
        <w:rPr>
          <w:rFonts w:ascii="Arial" w:cs="Arial" w:eastAsia="Arial" w:hAnsi="Arial"/>
          <w:sz w:val="19"/>
          <w:szCs w:val="19"/>
          <w:color w:val="auto"/>
        </w:rPr>
        <w:t>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If it is determined that this Award is subject to Section 409A and the Release Period set forth in Section 3(c) of this Award Agreement crosses tax years, then the Settlement Date shall occur in the second tax year. Notwithstanding the foregoing, in no event shall the Company or its subsidiaries or affiliates be liable for all or any portion of any taxes, penalties, interest or other expenses that may be incurred you on account of non-compliance with Code Section 409A.</w:t>
      </w:r>
    </w:p>
    <w:p>
      <w:pPr>
        <w:spacing w:after="0" w:line="175"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 xml:space="preserve">Nature of the Award. </w:t>
      </w:r>
      <w:r>
        <w:rPr>
          <w:rFonts w:ascii="Arial" w:cs="Arial" w:eastAsia="Arial" w:hAnsi="Arial"/>
          <w:sz w:val="19"/>
          <w:szCs w:val="19"/>
          <w:color w:val="auto"/>
        </w:rPr>
        <w:t>By accepting the PSUs, you acknowledge, understand and agree that:</w:t>
      </w:r>
    </w:p>
    <w:p>
      <w:pPr>
        <w:spacing w:after="0" w:line="185" w:lineRule="exact"/>
        <w:rPr>
          <w:sz w:val="20"/>
          <w:szCs w:val="20"/>
          <w:color w:val="auto"/>
        </w:rPr>
      </w:pPr>
    </w:p>
    <w:p>
      <w:pPr>
        <w:ind w:left="180" w:firstLine="638"/>
        <w:spacing w:after="0" w:line="298" w:lineRule="auto"/>
        <w:tabs>
          <w:tab w:leader="none" w:pos="125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Voluntary and Discretionary</w:t>
      </w:r>
      <w:r>
        <w:rPr>
          <w:rFonts w:ascii="Arial" w:cs="Arial" w:eastAsia="Arial" w:hAnsi="Arial"/>
          <w:sz w:val="19"/>
          <w:szCs w:val="19"/>
          <w:color w:val="auto"/>
        </w:rPr>
        <w:t>. The Plan is established voluntarily by the Company, is wholly discretionary in nature and may be modified, amended, suspended, or terminated by the Company at any time, to the extent permitted by the Plan;</w:t>
      </w:r>
    </w:p>
    <w:p>
      <w:pPr>
        <w:spacing w:after="0" w:line="105" w:lineRule="exact"/>
        <w:rPr>
          <w:rFonts w:ascii="Arial" w:cs="Arial" w:eastAsia="Arial" w:hAnsi="Arial"/>
          <w:sz w:val="19"/>
          <w:szCs w:val="19"/>
          <w:color w:val="auto"/>
        </w:rPr>
      </w:pPr>
    </w:p>
    <w:p>
      <w:pPr>
        <w:jc w:val="both"/>
        <w:ind w:left="180" w:firstLine="638"/>
        <w:spacing w:after="0" w:line="218" w:lineRule="auto"/>
        <w:tabs>
          <w:tab w:leader="none" w:pos="125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PSUs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87" w:lineRule="exact"/>
        <w:rPr>
          <w:rFonts w:ascii="Arial" w:cs="Arial" w:eastAsia="Arial" w:hAnsi="Arial"/>
          <w:sz w:val="22"/>
          <w:szCs w:val="22"/>
          <w:color w:val="auto"/>
        </w:rPr>
      </w:pPr>
    </w:p>
    <w:p>
      <w:pPr>
        <w:ind w:left="180" w:firstLine="638"/>
        <w:spacing w:after="0" w:line="232" w:lineRule="auto"/>
        <w:tabs>
          <w:tab w:leader="none" w:pos="125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US Company Plan</w:t>
      </w:r>
      <w:r>
        <w:rPr>
          <w:rFonts w:ascii="Arial" w:cs="Arial" w:eastAsia="Arial" w:hAnsi="Arial"/>
          <w:sz w:val="22"/>
          <w:szCs w:val="22"/>
          <w:color w:val="auto"/>
        </w:rPr>
        <w:t>. The Plan is offered and administered by GXO Logistics, Inc., a US incorporated company, and not by your Employer (if different);</w:t>
      </w:r>
    </w:p>
    <w:p>
      <w:pPr>
        <w:spacing w:after="0" w:line="185" w:lineRule="exact"/>
        <w:rPr>
          <w:rFonts w:ascii="Arial" w:cs="Arial" w:eastAsia="Arial" w:hAnsi="Arial"/>
          <w:sz w:val="22"/>
          <w:szCs w:val="22"/>
          <w:color w:val="auto"/>
        </w:rPr>
      </w:pPr>
    </w:p>
    <w:p>
      <w:pPr>
        <w:ind w:left="180" w:firstLine="638"/>
        <w:spacing w:after="0" w:line="232" w:lineRule="auto"/>
        <w:tabs>
          <w:tab w:leader="none" w:pos="1255"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US Plan Documents</w:t>
      </w:r>
      <w:r>
        <w:rPr>
          <w:rFonts w:ascii="Arial" w:cs="Arial" w:eastAsia="Arial" w:hAnsi="Arial"/>
          <w:sz w:val="22"/>
          <w:szCs w:val="22"/>
          <w:color w:val="auto"/>
        </w:rPr>
        <w:t>. All documents related to the Plan, including the Plan rules and this Award Agreement and the links by which you access these documents, are originated and maintained in the US;</w:t>
      </w:r>
    </w:p>
    <w:p>
      <w:pPr>
        <w:spacing w:after="0" w:line="158" w:lineRule="exact"/>
        <w:rPr>
          <w:rFonts w:ascii="Arial" w:cs="Arial" w:eastAsia="Arial" w:hAnsi="Arial"/>
          <w:sz w:val="22"/>
          <w:szCs w:val="22"/>
          <w:color w:val="auto"/>
        </w:rPr>
      </w:pPr>
    </w:p>
    <w:p>
      <w:pPr>
        <w:jc w:val="both"/>
        <w:ind w:left="180" w:firstLine="638"/>
        <w:spacing w:after="0" w:line="218" w:lineRule="auto"/>
        <w:tabs>
          <w:tab w:leader="none" w:pos="125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Exceptional and Occasional Benefit</w:t>
      </w:r>
      <w:r>
        <w:rPr>
          <w:rFonts w:ascii="Arial" w:cs="Arial" w:eastAsia="Arial" w:hAnsi="Arial"/>
          <w:sz w:val="22"/>
          <w:szCs w:val="22"/>
          <w:color w:val="auto"/>
        </w:rPr>
        <w:t>. The grant of the PSUs is exceptional, voluntary and occasional and does not create any contractual or other right to receive future grants of PSUs, or benefits in lieu of PSUs, even if PSUs have been granted in the past. All decisions with respect to future grants of PSUs or other grants, if any, will be at the sole discretion of the Company;</w:t>
      </w:r>
    </w:p>
    <w:p>
      <w:pPr>
        <w:spacing w:after="0" w:line="160" w:lineRule="exact"/>
        <w:rPr>
          <w:rFonts w:ascii="Arial" w:cs="Arial" w:eastAsia="Arial" w:hAnsi="Arial"/>
          <w:sz w:val="22"/>
          <w:szCs w:val="22"/>
          <w:color w:val="auto"/>
        </w:rPr>
      </w:pPr>
    </w:p>
    <w:p>
      <w:pPr>
        <w:jc w:val="both"/>
        <w:ind w:left="180" w:firstLine="638"/>
        <w:spacing w:after="0" w:line="216"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 Employment or Service Rights</w:t>
      </w:r>
      <w:r>
        <w:rPr>
          <w:rFonts w:ascii="Arial" w:cs="Arial" w:eastAsia="Arial" w:hAnsi="Arial"/>
          <w:sz w:val="22"/>
          <w:szCs w:val="22"/>
          <w:color w:val="auto"/>
        </w:rPr>
        <w:t>. The PSUs and your participation in the Plan shall not create a right of employment or other service relationship with the Company and shall not be interpreted as forming or amending an employment or service contract with the Company or the employing company (if different). Further, the PSUs and your participation in the Plan shall not interfere with the ability of the Company, the employing company (if different) or any Affiliate, as applicable, to terminate your employment or service relationship (if any);</w:t>
      </w:r>
    </w:p>
    <w:p>
      <w:pPr>
        <w:spacing w:after="0" w:line="157" w:lineRule="exact"/>
        <w:rPr>
          <w:rFonts w:ascii="Arial" w:cs="Arial" w:eastAsia="Arial" w:hAnsi="Arial"/>
          <w:sz w:val="22"/>
          <w:szCs w:val="22"/>
          <w:color w:val="auto"/>
        </w:rPr>
      </w:pPr>
    </w:p>
    <w:p>
      <w:pPr>
        <w:ind w:left="1240" w:hanging="422"/>
        <w:spacing w:after="0"/>
        <w:tabs>
          <w:tab w:leader="none" w:pos="124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Voluntary Plan Participation</w:t>
      </w:r>
      <w:r>
        <w:rPr>
          <w:rFonts w:ascii="Arial" w:cs="Arial" w:eastAsia="Arial" w:hAnsi="Arial"/>
          <w:sz w:val="22"/>
          <w:szCs w:val="22"/>
          <w:color w:val="auto"/>
        </w:rPr>
        <w:t>. You are voluntarily participating in the Plan;</w:t>
      </w:r>
    </w:p>
    <w:p>
      <w:pPr>
        <w:spacing w:after="0" w:line="179" w:lineRule="exact"/>
        <w:rPr>
          <w:rFonts w:ascii="Arial" w:cs="Arial" w:eastAsia="Arial" w:hAnsi="Arial"/>
          <w:sz w:val="22"/>
          <w:szCs w:val="22"/>
          <w:color w:val="auto"/>
        </w:rPr>
      </w:pPr>
    </w:p>
    <w:p>
      <w:pPr>
        <w:jc w:val="both"/>
        <w:ind w:left="180" w:firstLine="638"/>
        <w:spacing w:after="0" w:line="249" w:lineRule="auto"/>
        <w:tabs>
          <w:tab w:leader="none" w:pos="125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PSUs Not In Lieu of Other Compensation</w:t>
      </w:r>
      <w:r>
        <w:rPr>
          <w:rFonts w:ascii="Arial" w:cs="Arial" w:eastAsia="Arial" w:hAnsi="Arial"/>
          <w:sz w:val="19"/>
          <w:szCs w:val="19"/>
          <w:color w:val="auto"/>
        </w:rPr>
        <w:t>. The PSUs and any Shares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payments. Further, the PSUs and the Shares subject to the PSUs, and the income from and value of same, are not intended to replace any pension rights or compensation. Unless otherwise agreed with the Company, the PSUs and the Shares underlying the PSUs, and the income from and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1" w:right="339" w:bottom="1440" w:gutter="0" w:footer="0" w:header="0"/>
        </w:sectPr>
      </w:pPr>
    </w:p>
    <w:bookmarkStart w:id="61" w:name="page62"/>
    <w:bookmarkEnd w:id="61"/>
    <w:p>
      <w:pPr>
        <w:ind w:left="180"/>
        <w:spacing w:after="0" w:line="232" w:lineRule="auto"/>
        <w:rPr>
          <w:sz w:val="20"/>
          <w:szCs w:val="20"/>
          <w:color w:val="auto"/>
        </w:rPr>
      </w:pPr>
      <w:r>
        <w:rPr>
          <w:rFonts w:ascii="Arial" w:cs="Arial" w:eastAsia="Arial" w:hAnsi="Arial"/>
          <w:sz w:val="22"/>
          <w:szCs w:val="22"/>
          <w:color w:val="auto"/>
        </w:rPr>
        <w:t>same, are not granted as consideration for, or in connection with, the service you may provide as a Director of an Affiliate of the Company.</w:t>
      </w:r>
    </w:p>
    <w:p>
      <w:pPr>
        <w:spacing w:after="0" w:line="159" w:lineRule="exact"/>
        <w:rPr>
          <w:sz w:val="20"/>
          <w:szCs w:val="20"/>
          <w:color w:val="auto"/>
        </w:rPr>
      </w:pPr>
    </w:p>
    <w:p>
      <w:pPr>
        <w:ind w:left="180" w:firstLine="638"/>
        <w:spacing w:after="0" w:line="232" w:lineRule="auto"/>
        <w:tabs>
          <w:tab w:leader="none" w:pos="127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Uncertain Future Value</w:t>
      </w:r>
      <w:r>
        <w:rPr>
          <w:rFonts w:ascii="Arial" w:cs="Arial" w:eastAsia="Arial" w:hAnsi="Arial"/>
          <w:sz w:val="22"/>
          <w:szCs w:val="22"/>
          <w:color w:val="auto"/>
        </w:rPr>
        <w:t>. The future value of the Shares underlying the PSUs is unknown, indeterminable, and cannot be predicted with certainty.</w:t>
      </w:r>
    </w:p>
    <w:p>
      <w:pPr>
        <w:spacing w:after="0" w:line="158" w:lineRule="exact"/>
        <w:rPr>
          <w:rFonts w:ascii="Arial" w:cs="Arial" w:eastAsia="Arial" w:hAnsi="Arial"/>
          <w:sz w:val="22"/>
          <w:szCs w:val="22"/>
          <w:color w:val="auto"/>
        </w:rPr>
      </w:pPr>
    </w:p>
    <w:p>
      <w:pPr>
        <w:jc w:val="both"/>
        <w:ind w:left="180" w:firstLine="638"/>
        <w:spacing w:after="0" w:line="243" w:lineRule="auto"/>
        <w:tabs>
          <w:tab w:leader="none" w:pos="127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 Entitlements</w:t>
      </w:r>
      <w:r>
        <w:rPr>
          <w:rFonts w:ascii="Arial" w:cs="Arial" w:eastAsia="Arial" w:hAnsi="Arial"/>
          <w:sz w:val="19"/>
          <w:szCs w:val="19"/>
          <w:color w:val="auto"/>
        </w:rPr>
        <w:t>. No claim or entitlement to compensation or damages shall arise from forfeiture of the PSUs resulting from the termination of your employment (for any reason whatsoever, whether or not later found to be invalid or in breach of employment laws in the jurisdiction where you are employed or the terms of your employment agreement, if any). In 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 Unless otherwise provided in the Plan or by the Company in its discretion, the PSUs and the benefits evidenced by this Award Agreement do not create any entitlement to have the PSUs or any such benefits transferred to, or assumed by, another company, or to be exchanged, cashed out or substituted for, in connection with any corporate transaction affecting the Shares.</w:t>
      </w:r>
    </w:p>
    <w:p>
      <w:pPr>
        <w:spacing w:after="0" w:line="374"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The terms and conditions of this Award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and shall inure to the benefit of the Company and its successors and assigns.</w:t>
      </w:r>
    </w:p>
    <w:p>
      <w:pPr>
        <w:spacing w:after="0" w:line="180"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u w:val="single" w:color="auto"/>
          <w:color w:val="auto"/>
        </w:rPr>
        <w:t>Committee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Compensation Committee of the Board shall have full and plenary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favor and you do not have any claim or right of action in respect of any decision, omission, or discretion which may operate to your disadvantage.</w:t>
      </w:r>
    </w:p>
    <w:p>
      <w:pPr>
        <w:spacing w:after="0" w:line="179"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u w:val="single" w:color="auto"/>
          <w:color w:val="auto"/>
        </w:rPr>
        <w:t>Dispute Resolution.</w:t>
      </w:r>
    </w:p>
    <w:p>
      <w:pPr>
        <w:spacing w:after="0" w:line="185" w:lineRule="exact"/>
        <w:rPr>
          <w:sz w:val="20"/>
          <w:szCs w:val="20"/>
          <w:color w:val="auto"/>
        </w:rPr>
      </w:pPr>
    </w:p>
    <w:p>
      <w:pPr>
        <w:jc w:val="both"/>
        <w:ind w:firstLine="656"/>
        <w:spacing w:after="0" w:line="241" w:lineRule="auto"/>
        <w:tabs>
          <w:tab w:leader="none" w:pos="126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xml:space="preserve"> Any claim initiated by you arising out of or relating to this Award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or any Subsidiary seeks injunctive relief pursuant to an Employment Agreement, Confidential Information Protection Agreement, or other individual agreement between you and the Company or any Subsidiary, any claim initiated by the Company arising out of or relating to this Award Agreement, or the breach thereof, shall, at the election of the Company be resolved in accordance with this Section 16.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16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16 shall be conclusive and binding upon you and may be enforced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1" w:right="339" w:bottom="1440" w:gutter="0" w:footer="0" w:header="0"/>
        </w:sectPr>
      </w:pPr>
    </w:p>
    <w:bookmarkStart w:id="62" w:name="page63"/>
    <w:bookmarkEnd w:id="62"/>
    <w:p>
      <w:pPr>
        <w:spacing w:after="0" w:line="204" w:lineRule="exact"/>
        <w:rPr>
          <w:sz w:val="20"/>
          <w:szCs w:val="20"/>
          <w:color w:val="auto"/>
        </w:rPr>
      </w:pPr>
    </w:p>
    <w:p>
      <w:pPr>
        <w:jc w:val="both"/>
        <w:ind w:firstLine="656"/>
        <w:spacing w:after="0" w:line="223" w:lineRule="auto"/>
        <w:tabs>
          <w:tab w:leader="none" w:pos="125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85" w:lineRule="exact"/>
        <w:rPr>
          <w:rFonts w:ascii="Arial" w:cs="Arial" w:eastAsia="Arial" w:hAnsi="Arial"/>
          <w:sz w:val="22"/>
          <w:szCs w:val="22"/>
          <w:color w:val="auto"/>
        </w:rPr>
      </w:pPr>
    </w:p>
    <w:p>
      <w:pPr>
        <w:jc w:val="both"/>
        <w:ind w:firstLine="656"/>
        <w:spacing w:after="0" w:line="218" w:lineRule="auto"/>
        <w:tabs>
          <w:tab w:leader="none" w:pos="12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16,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82"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u w:val="single" w:color="auto"/>
          <w:color w:val="auto"/>
        </w:rPr>
        <w:t>Notice</w:t>
      </w:r>
      <w:r>
        <w:rPr>
          <w:rFonts w:ascii="Arial" w:cs="Arial" w:eastAsia="Arial" w:hAnsi="Arial"/>
          <w:sz w:val="22"/>
          <w:szCs w:val="22"/>
          <w:color w:val="auto"/>
        </w:rPr>
        <w:t>. All notices, requests, demands and other communications required or permitted to be given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40"/>
          </w:cols>
          <w:pgMar w:left="320" w:top="1440"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GXO Logistics, Inc.</w:t>
      </w:r>
    </w:p>
    <w:p>
      <w:pPr>
        <w:spacing w:after="0" w:line="204" w:lineRule="auto"/>
        <w:rPr>
          <w:sz w:val="20"/>
          <w:szCs w:val="20"/>
          <w:color w:val="auto"/>
        </w:rPr>
      </w:pPr>
      <w:r>
        <w:rPr>
          <w:rFonts w:ascii="Arial" w:cs="Arial" w:eastAsia="Arial" w:hAnsi="Arial"/>
          <w:sz w:val="22"/>
          <w:szCs w:val="22"/>
          <w:color w:val="auto"/>
        </w:rPr>
        <w:t>Two American Lane</w:t>
      </w:r>
    </w:p>
    <w:p>
      <w:pPr>
        <w:spacing w:after="0" w:line="205" w:lineRule="auto"/>
        <w:rPr>
          <w:sz w:val="20"/>
          <w:szCs w:val="20"/>
          <w:color w:val="auto"/>
        </w:rPr>
      </w:pPr>
      <w:r>
        <w:rPr>
          <w:rFonts w:ascii="Arial" w:cs="Arial" w:eastAsia="Arial" w:hAnsi="Arial"/>
          <w:sz w:val="22"/>
          <w:szCs w:val="22"/>
          <w:color w:val="auto"/>
        </w:rPr>
        <w:t>Greenwich, CT 06831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20"/>
        <w:spacing w:after="0" w:line="232" w:lineRule="auto"/>
        <w:rPr>
          <w:sz w:val="20"/>
          <w:szCs w:val="20"/>
          <w:color w:val="auto"/>
        </w:rPr>
      </w:pPr>
      <w:r>
        <w:rPr>
          <w:rFonts w:ascii="Arial" w:cs="Arial" w:eastAsia="Arial" w:hAnsi="Arial"/>
          <w:sz w:val="22"/>
          <w:szCs w:val="22"/>
          <w:color w:val="auto"/>
        </w:rPr>
        <w:t>To your address as most recently supplied to the Company and set forth in the Company’s records</w:t>
      </w:r>
    </w:p>
    <w:p>
      <w:pPr>
        <w:spacing w:after="0" w:line="64" w:lineRule="exact"/>
        <w:rPr>
          <w:sz w:val="20"/>
          <w:szCs w:val="20"/>
          <w:color w:val="auto"/>
        </w:rPr>
      </w:pPr>
    </w:p>
    <w:p>
      <w:pPr>
        <w:sectPr>
          <w:pgSz w:w="11900" w:h="16838" w:orient="portrait"/>
          <w:cols w:equalWidth="0" w:num="2">
            <w:col w:w="4640" w:space="720"/>
            <w:col w:w="5880"/>
          </w:cols>
          <w:pgMar w:left="320" w:top="1440" w:right="339" w:bottom="1440" w:gutter="0" w:footer="0" w:header="0"/>
          <w:type w:val="continuous"/>
        </w:sectPr>
      </w:pPr>
    </w:p>
    <w:p>
      <w:pPr>
        <w:jc w:val="both"/>
        <w:ind w:right="20"/>
        <w:spacing w:after="0" w:line="232"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22"/>
          <w:szCs w:val="22"/>
          <w:b w:val="1"/>
          <w:bCs w:val="1"/>
          <w:color w:val="auto"/>
        </w:rPr>
        <w:t xml:space="preserve">SECTION 18.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deemed to be made in the State of Delaware,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validity, construction and effect of this Award Agreement in all respects shall be determined in accordance with the laws of the State of Delaware, without giving effect to the conflict of law principles thereof.</w:t>
      </w:r>
    </w:p>
    <w:p>
      <w:pPr>
        <w:spacing w:after="0" w:line="180" w:lineRule="exact"/>
        <w:rPr>
          <w:sz w:val="20"/>
          <w:szCs w:val="20"/>
          <w:color w:val="auto"/>
        </w:rPr>
      </w:pPr>
    </w:p>
    <w:p>
      <w:pPr>
        <w:jc w:val="both"/>
        <w:spacing w:after="0" w:line="212"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u w:val="single" w:color="auto"/>
          <w:color w:val="auto"/>
        </w:rPr>
        <w:t>Consent to Electronic Delivery and Participation</w:t>
      </w:r>
      <w:r>
        <w:rPr>
          <w:rFonts w:ascii="Arial" w:cs="Arial" w:eastAsia="Arial" w:hAnsi="Arial"/>
          <w:sz w:val="22"/>
          <w:szCs w:val="22"/>
          <w:color w:val="auto"/>
        </w:rPr>
        <w:t>. By accepting the PSUs, you agree to participate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through an on-line or electronic system established and maintained by the Company or a third party designated by the Company, and consents to the electronic delivery of this Award Agreement, the Plan, account statements, Plan prospectuses, and all other documents, communications, or information related to the PSUs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You may request that hard copies of any Plan-related documents be provided, free of charge, by contacting gxoequityadmin@GXO.com.</w:t>
      </w:r>
    </w:p>
    <w:p>
      <w:pPr>
        <w:spacing w:after="0" w:line="18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Headings are given to the Sections and subsections of this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type w:val="continuous"/>
        </w:sectPr>
      </w:pPr>
    </w:p>
    <w:bookmarkStart w:id="63" w:name="page64"/>
    <w:bookmarkEnd w:id="63"/>
    <w:p>
      <w:pPr>
        <w:jc w:val="both"/>
        <w:spacing w:after="0" w:line="215" w:lineRule="auto"/>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u w:val="single" w:color="auto"/>
          <w:color w:val="auto"/>
        </w:rPr>
        <w:t>Amendment of this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waive any conditions or rights under, amend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terms of, or alter, suspend, discontinue, cancel or terminate this Award Agreement prospectively or retroactively;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provision, that this Award Agreement and the PSUs shall be subject to the provisions of Section 7(c) of the Plan).</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Agreement may be signed in counterparts, each of which shall be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same effect as if the signatures thereto and hereto were upon the same instrument. You and the Company hereby acknowledge and agree that signatures delivered by facsimile or electronic means (including by electronic signature or “pdf”) shall be deemed effective for all purposes.</w:t>
      </w:r>
    </w:p>
    <w:p>
      <w:pPr>
        <w:spacing w:after="0" w:line="185"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GXO LOGISTICS, INC.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Maryclaire Hammond</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Human Resources Officer</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-17780</wp:posOffset>
            </wp:positionV>
            <wp:extent cx="685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[INSERT EMPLOYEE NAME]</w:t>
      </w:r>
    </w:p>
    <w:p>
      <w:pPr>
        <w:spacing w:after="0" w:line="1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Signature</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-17780</wp:posOffset>
            </wp:positionV>
            <wp:extent cx="6858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 – PERFORMANCE GOALS]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440" w:right="1440"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GXO Logistics, Inc. (“GXO”)</w:t>
      </w:r>
    </w:p>
    <w:p>
      <w:pPr>
        <w:jc w:val="center"/>
        <w:spacing w:after="0"/>
        <w:rPr>
          <w:sz w:val="20"/>
          <w:szCs w:val="20"/>
          <w:color w:val="auto"/>
        </w:rPr>
      </w:pPr>
      <w:r>
        <w:rPr>
          <w:rFonts w:ascii="Arial" w:cs="Arial" w:eastAsia="Arial" w:hAnsi="Arial"/>
          <w:sz w:val="22"/>
          <w:szCs w:val="22"/>
          <w:b w:val="1"/>
          <w:bCs w:val="1"/>
          <w:color w:val="auto"/>
        </w:rPr>
        <w:t>Global Appendix (shares)</w:t>
      </w:r>
    </w:p>
    <w:p>
      <w:pPr>
        <w:spacing w:after="0" w:line="229" w:lineRule="exact"/>
        <w:rPr>
          <w:sz w:val="20"/>
          <w:szCs w:val="20"/>
          <w:color w:val="auto"/>
        </w:rPr>
      </w:pPr>
    </w:p>
    <w:p>
      <w:pPr>
        <w:jc w:val="both"/>
        <w:spacing w:after="0" w:line="331" w:lineRule="auto"/>
        <w:rPr>
          <w:sz w:val="20"/>
          <w:szCs w:val="20"/>
          <w:color w:val="auto"/>
        </w:rPr>
      </w:pPr>
      <w:r>
        <w:rPr>
          <w:rFonts w:ascii="Arial" w:cs="Arial" w:eastAsia="Arial" w:hAnsi="Arial"/>
          <w:sz w:val="19"/>
          <w:szCs w:val="19"/>
          <w:b w:val="1"/>
          <w:bCs w:val="1"/>
          <w:i w:val="1"/>
          <w:iCs w:val="1"/>
          <w:color w:val="auto"/>
        </w:rPr>
        <w:t>Capitalised terms not otherwise defined in this global appendix document (the “Appendix”) have the meanings given in the rules of the GXO 2021 Omnibus Incentive Compensation Plan (the “Plan”) and the Award Agreement, as applicable. You are the “Participant” for the purposes of this document. In the event of any conflict between the terms of the Plan on the one hand and the terms of this Award Agreement or the Appendix on the other, the terms of the Plan shall govern.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21"/>
          <w:szCs w:val="21"/>
          <w:color w:val="auto"/>
        </w:rPr>
        <w:t>This Appendix includes special and/or additional terms and conditions that govern the PSUs granted to the Participant under the Plan if the Participant resides and/or works in one of the countries listed below. Part A including terms and conditions that apply to Participants in all jurisdictions, and Part B includes country-specific terms and conditions. These terms and conditions are in addition to or, if so indicated, in place of, the terms and conditions set forth in the Award Agreement. If the Participant is a citizen or resident of a country other than the one in which he or she is currently residing and/or working, transfers residency and/or employment to another country after the grant of the Award, or is considered resident of another country for local law purposes, the Committee shall, in its discretion, determine to what extent the terms and conditions contained herein shall be applicable to the Participant.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7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This Appendix also includes information regarding tax, securities law, exchange controls and certain other issues of which the Participant should be aware with respect to the Participant’s participation in the Plan. The information is based on the securities, exchange control and other laws in effect in the respective countries as of February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the information may be out of date at the time that the PSUs vest or Shares acquired under the Plan are sold.</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9"/>
          <w:szCs w:val="19"/>
          <w:color w:val="auto"/>
        </w:rPr>
        <w:t>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the Participant’s situation.</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Finally, if the Participant is a citizen or resident of a country other than the one in which he or she is currently residing and/or working, transfers residency and/or employment to another country after the grant of the Award, or is considered a resident of another country for local law</w:t>
      </w:r>
    </w:p>
    <w:p>
      <w:pPr>
        <w:sectPr>
          <w:pgSz w:w="11900" w:h="16838" w:orient="portrait"/>
          <w:cols w:equalWidth="0" w:num="1">
            <w:col w:w="11240"/>
          </w:cols>
          <w:pgMar w:left="320" w:top="1382" w:right="339" w:bottom="1440" w:gutter="0" w:footer="0" w:header="0"/>
        </w:sectPr>
      </w:pPr>
    </w:p>
    <w:bookmarkStart w:id="66" w:name="page67"/>
    <w:bookmarkEnd w:id="66"/>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purposes, the information contained herein may not be applicable to the Participant in the same manner.</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PROVISIONS APPLICABLE TO ALL EMPLOYEES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Participant acknowledges, accepts and agrees each of the following:</w:t>
      </w:r>
    </w:p>
    <w:p>
      <w:pPr>
        <w:spacing w:after="0" w:line="260"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Adequate Information</w:t>
      </w:r>
    </w:p>
    <w:p>
      <w:pPr>
        <w:spacing w:after="0" w:line="206" w:lineRule="exact"/>
        <w:rPr>
          <w:rFonts w:ascii="Arial" w:cs="Arial" w:eastAsia="Arial" w:hAnsi="Arial"/>
          <w:sz w:val="22"/>
          <w:szCs w:val="22"/>
          <w:color w:val="auto"/>
        </w:rPr>
      </w:pPr>
    </w:p>
    <w:p>
      <w:pPr>
        <w:jc w:val="both"/>
        <w:ind w:left="520"/>
        <w:spacing w:after="0" w:line="286" w:lineRule="auto"/>
        <w:rPr>
          <w:rFonts w:ascii="Arial" w:cs="Arial" w:eastAsia="Arial" w:hAnsi="Arial"/>
          <w:sz w:val="22"/>
          <w:szCs w:val="22"/>
          <w:color w:val="auto"/>
        </w:rPr>
      </w:pPr>
      <w:r>
        <w:rPr>
          <w:rFonts w:ascii="Arial" w:cs="Arial" w:eastAsia="Arial" w:hAnsi="Arial"/>
          <w:sz w:val="22"/>
          <w:szCs w:val="22"/>
          <w:color w:val="auto"/>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spacing w:after="0" w:line="193" w:lineRule="exact"/>
        <w:rPr>
          <w:rFonts w:ascii="Arial" w:cs="Arial" w:eastAsia="Arial" w:hAnsi="Arial"/>
          <w:sz w:val="22"/>
          <w:szCs w:val="22"/>
          <w:color w:val="auto"/>
        </w:rPr>
      </w:pPr>
    </w:p>
    <w:p>
      <w:pPr>
        <w:ind w:left="500" w:hanging="492"/>
        <w:spacing w:after="0"/>
        <w:tabs>
          <w:tab w:leader="none" w:pos="5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Public Offer</w:t>
      </w:r>
    </w:p>
    <w:p>
      <w:pPr>
        <w:spacing w:after="0" w:line="206" w:lineRule="exact"/>
        <w:rPr>
          <w:rFonts w:ascii="Arial" w:cs="Arial" w:eastAsia="Arial" w:hAnsi="Arial"/>
          <w:sz w:val="22"/>
          <w:szCs w:val="22"/>
          <w:color w:val="auto"/>
        </w:rPr>
      </w:pPr>
    </w:p>
    <w:p>
      <w:pPr>
        <w:ind w:left="520" w:right="20"/>
        <w:spacing w:after="0" w:line="302" w:lineRule="auto"/>
        <w:rPr>
          <w:rFonts w:ascii="Arial" w:cs="Arial" w:eastAsia="Arial" w:hAnsi="Arial"/>
          <w:sz w:val="22"/>
          <w:szCs w:val="22"/>
          <w:color w:val="auto"/>
        </w:rPr>
      </w:pPr>
      <w:r>
        <w:rPr>
          <w:rFonts w:ascii="Arial" w:cs="Arial" w:eastAsia="Arial" w:hAnsi="Arial"/>
          <w:sz w:val="22"/>
          <w:szCs w:val="22"/>
          <w:color w:val="auto"/>
        </w:rPr>
        <w:t>That the grant of an Award is strictly private and personal to the Participant and rights under the Plan may not be transferred, disposed of or assigned unless expressly confirmed by GXO in writing.</w:t>
      </w:r>
    </w:p>
    <w:p>
      <w:pPr>
        <w:spacing w:after="0" w:line="105" w:lineRule="exact"/>
        <w:rPr>
          <w:rFonts w:ascii="Arial" w:cs="Arial" w:eastAsia="Arial" w:hAnsi="Arial"/>
          <w:sz w:val="22"/>
          <w:szCs w:val="22"/>
          <w:color w:val="auto"/>
        </w:rPr>
      </w:pPr>
    </w:p>
    <w:p>
      <w:pPr>
        <w:jc w:val="both"/>
        <w:ind w:left="520"/>
        <w:spacing w:after="0" w:line="303" w:lineRule="auto"/>
        <w:rPr>
          <w:rFonts w:ascii="Arial" w:cs="Arial" w:eastAsia="Arial" w:hAnsi="Arial"/>
          <w:sz w:val="22"/>
          <w:szCs w:val="22"/>
          <w:color w:val="auto"/>
        </w:rPr>
      </w:pPr>
      <w:r>
        <w:rPr>
          <w:rFonts w:ascii="Arial" w:cs="Arial" w:eastAsia="Arial" w:hAnsi="Arial"/>
          <w:sz w:val="21"/>
          <w:szCs w:val="21"/>
          <w:color w:val="auto"/>
        </w:rPr>
        <w:t>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GXO’s express written consent.</w:t>
      </w:r>
    </w:p>
    <w:p>
      <w:pPr>
        <w:spacing w:after="0" w:line="95" w:lineRule="exact"/>
        <w:rPr>
          <w:rFonts w:ascii="Arial" w:cs="Arial" w:eastAsia="Arial" w:hAnsi="Arial"/>
          <w:sz w:val="22"/>
          <w:szCs w:val="22"/>
          <w:color w:val="auto"/>
        </w:rPr>
      </w:pPr>
    </w:p>
    <w:p>
      <w:pPr>
        <w:ind w:left="500" w:hanging="492"/>
        <w:spacing w:after="0"/>
        <w:tabs>
          <w:tab w:leader="none" w:pos="500" w:val="left"/>
        </w:tabs>
        <w:numPr>
          <w:ilvl w:val="0"/>
          <w:numId w:val="53"/>
        </w:numPr>
        <w:rPr>
          <w:rFonts w:ascii="Arial" w:cs="Arial" w:eastAsia="Arial" w:hAnsi="Arial"/>
          <w:sz w:val="20"/>
          <w:szCs w:val="20"/>
          <w:color w:val="auto"/>
        </w:rPr>
      </w:pPr>
      <w:r>
        <w:rPr>
          <w:rFonts w:ascii="Arial" w:cs="Arial" w:eastAsia="Arial" w:hAnsi="Arial"/>
          <w:sz w:val="22"/>
          <w:szCs w:val="22"/>
          <w:u w:val="single" w:color="auto"/>
          <w:color w:val="auto"/>
        </w:rPr>
        <w:t>Tax Obligations</w:t>
      </w:r>
    </w:p>
    <w:p>
      <w:pPr>
        <w:spacing w:after="0" w:line="192" w:lineRule="exact"/>
        <w:rPr>
          <w:rFonts w:ascii="Arial" w:cs="Arial" w:eastAsia="Arial" w:hAnsi="Arial"/>
          <w:sz w:val="20"/>
          <w:szCs w:val="20"/>
          <w:color w:val="auto"/>
        </w:rPr>
      </w:pPr>
    </w:p>
    <w:p>
      <w:pPr>
        <w:jc w:val="both"/>
        <w:ind w:left="520"/>
        <w:spacing w:after="0" w:line="286" w:lineRule="auto"/>
        <w:rPr>
          <w:rFonts w:ascii="Arial" w:cs="Arial" w:eastAsia="Arial" w:hAnsi="Arial"/>
          <w:sz w:val="20"/>
          <w:szCs w:val="20"/>
          <w:color w:val="auto"/>
        </w:rPr>
      </w:pPr>
      <w:r>
        <w:rPr>
          <w:rFonts w:ascii="Arial" w:cs="Arial" w:eastAsia="Arial" w:hAnsi="Arial"/>
          <w:sz w:val="22"/>
          <w:szCs w:val="22"/>
          <w:color w:val="auto"/>
        </w:rPr>
        <w:t>That the Company may withhold or account for Tax-Related Items by considering statutory or other withholding rates, including minimum or maximum rates applicable in the Participant's jurisdiction(s). If the obligation for Tax-Related Items is satisfied by withholding in Shares, for tax purposes, you will be deemed to have been issued the full number of Shares subject to the vested RSUs, notwithstanding that a number of the Shares is held back solely for the purpose of paying the Tax-Related Items.</w:t>
      </w:r>
    </w:p>
    <w:p>
      <w:pPr>
        <w:spacing w:after="0" w:line="193" w:lineRule="exact"/>
        <w:rPr>
          <w:rFonts w:ascii="Arial" w:cs="Arial" w:eastAsia="Arial" w:hAnsi="Arial"/>
          <w:sz w:val="20"/>
          <w:szCs w:val="20"/>
          <w:color w:val="auto"/>
        </w:rPr>
      </w:pPr>
    </w:p>
    <w:p>
      <w:pPr>
        <w:ind w:left="500" w:hanging="492"/>
        <w:spacing w:after="0"/>
        <w:tabs>
          <w:tab w:leader="none" w:pos="5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Independent Advice Recommended</w:t>
      </w:r>
    </w:p>
    <w:p>
      <w:pPr>
        <w:spacing w:after="0" w:line="206" w:lineRule="exact"/>
        <w:rPr>
          <w:rFonts w:ascii="Arial" w:cs="Arial" w:eastAsia="Arial" w:hAnsi="Arial"/>
          <w:sz w:val="22"/>
          <w:szCs w:val="22"/>
          <w:color w:val="auto"/>
        </w:rPr>
      </w:pPr>
    </w:p>
    <w:p>
      <w:pPr>
        <w:ind w:left="520"/>
        <w:spacing w:after="0" w:line="302" w:lineRule="auto"/>
        <w:rPr>
          <w:rFonts w:ascii="Arial" w:cs="Arial" w:eastAsia="Arial" w:hAnsi="Arial"/>
          <w:sz w:val="22"/>
          <w:szCs w:val="22"/>
          <w:color w:val="auto"/>
        </w:rPr>
      </w:pPr>
      <w:r>
        <w:rPr>
          <w:rFonts w:ascii="Arial" w:cs="Arial" w:eastAsia="Arial" w:hAnsi="Arial"/>
          <w:sz w:val="22"/>
          <w:szCs w:val="22"/>
          <w:color w:val="auto"/>
        </w:rPr>
        <w:t>That the information provided by GXO, the Participant’s employer nor any person or entity acting on their behalf, including its service providers, in respect of the Plan,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0" w:lineRule="exact"/>
        <w:rPr>
          <w:sz w:val="20"/>
          <w:szCs w:val="20"/>
          <w:color w:val="auto"/>
        </w:rPr>
      </w:pPr>
    </w:p>
    <w:p>
      <w:pPr>
        <w:jc w:val="both"/>
        <w:ind w:left="520"/>
        <w:spacing w:after="0" w:line="356" w:lineRule="auto"/>
        <w:rPr>
          <w:sz w:val="20"/>
          <w:szCs w:val="20"/>
          <w:color w:val="auto"/>
        </w:rPr>
      </w:pPr>
      <w:r>
        <w:rPr>
          <w:rFonts w:ascii="Arial" w:cs="Arial" w:eastAsia="Arial" w:hAnsi="Arial"/>
          <w:sz w:val="19"/>
          <w:szCs w:val="19"/>
          <w:color w:val="auto"/>
        </w:rPr>
        <w:t>benefit program offered by GXO,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spacing w:after="0" w:line="54"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 xml:space="preserve">That neither the Participant’s employer nor any person or entity acting on behalf of the Participant’s employer has provided the Participant with financial advice with respect to the Award or the shares acquired upon settlement of the Award and the Participant is not guaranteed a specified level of return on the Award or the shares. If an Award is related to any GXO shares there is a risk that they may fall as well as rise in value. More information in relation to GXO, including the share price, can be found at </w:t>
      </w:r>
      <w:r>
        <w:rPr>
          <w:rFonts w:ascii="Arial" w:cs="Arial" w:eastAsia="Arial" w:hAnsi="Arial"/>
          <w:sz w:val="22"/>
          <w:szCs w:val="22"/>
          <w:u w:val="single" w:color="auto"/>
          <w:color w:val="0000FF"/>
        </w:rPr>
        <w:t>https://www.GXO.com/</w:t>
      </w:r>
      <w:r>
        <w:rPr>
          <w:rFonts w:ascii="Arial" w:cs="Arial" w:eastAsia="Arial" w:hAnsi="Arial"/>
          <w:sz w:val="22"/>
          <w:szCs w:val="22"/>
          <w:color w:val="auto"/>
        </w:rPr>
        <w:t>.</w:t>
      </w:r>
    </w:p>
    <w:p>
      <w:pPr>
        <w:spacing w:after="0" w:line="194"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Exchange Control, Reporting Requirements and Resale Obligations</w:t>
      </w:r>
    </w:p>
    <w:p>
      <w:pPr>
        <w:spacing w:after="0" w:line="206" w:lineRule="exact"/>
        <w:rPr>
          <w:rFonts w:ascii="Arial" w:cs="Arial" w:eastAsia="Arial" w:hAnsi="Arial"/>
          <w:sz w:val="22"/>
          <w:szCs w:val="22"/>
          <w:color w:val="auto"/>
        </w:rPr>
      </w:pPr>
    </w:p>
    <w:p>
      <w:pPr>
        <w:jc w:val="both"/>
        <w:ind w:left="520"/>
        <w:spacing w:after="0" w:line="303" w:lineRule="auto"/>
        <w:rPr>
          <w:rFonts w:ascii="Arial" w:cs="Arial" w:eastAsia="Arial" w:hAnsi="Arial"/>
          <w:sz w:val="22"/>
          <w:szCs w:val="22"/>
          <w:color w:val="auto"/>
        </w:rPr>
      </w:pPr>
      <w:r>
        <w:rPr>
          <w:rFonts w:ascii="Arial" w:cs="Arial" w:eastAsia="Arial" w:hAnsi="Arial"/>
          <w:sz w:val="21"/>
          <w:szCs w:val="21"/>
          <w:color w:val="auto"/>
        </w:rPr>
        <w:t>That, under local exchange or currency controls, the Participant will be solely responsible for complying with any notification, approval and/or repatriation obligations which apply with respect to an Award and neither GXO nor the Participant’s employer will be responsible on their behalf. GXO accepts no responsibility for the Participant’s failure to comply, or delay in complying with, such requirements. Participants should seek independent professional advice if Participants are unsure about obligations as a result of participation in the Plan.</w:t>
      </w:r>
    </w:p>
    <w:p>
      <w:pPr>
        <w:spacing w:after="0" w:line="109" w:lineRule="exact"/>
        <w:rPr>
          <w:rFonts w:ascii="Arial" w:cs="Arial" w:eastAsia="Arial" w:hAnsi="Arial"/>
          <w:sz w:val="22"/>
          <w:szCs w:val="22"/>
          <w:color w:val="auto"/>
        </w:rPr>
      </w:pPr>
    </w:p>
    <w:p>
      <w:pPr>
        <w:jc w:val="both"/>
        <w:ind w:left="520"/>
        <w:spacing w:after="0" w:line="285" w:lineRule="auto"/>
        <w:rPr>
          <w:rFonts w:ascii="Arial" w:cs="Arial" w:eastAsia="Arial" w:hAnsi="Arial"/>
          <w:sz w:val="22"/>
          <w:szCs w:val="22"/>
          <w:color w:val="auto"/>
        </w:rPr>
      </w:pPr>
      <w:r>
        <w:rPr>
          <w:rFonts w:ascii="Arial" w:cs="Arial" w:eastAsia="Arial" w:hAnsi="Arial"/>
          <w:sz w:val="22"/>
          <w:szCs w:val="22"/>
          <w:color w:val="auto"/>
        </w:rPr>
        <w:t>That among other things, such obligations may affect the Participant’s ability to hold foreign shares, bring shares into the Participant’s jurisdiction, reinvest dividends, and receive dividends, share sale proceeds and other payments in a local or foreign account. The Participant may further be subject to local securities law and/or exchange control restrictions on the transfer and resale of shares. The Participant is responsible for ensuring compliance with any individual obligations that may apply to the Participant in connection with the Plan and GXO recommends that the Participant obtain independent legal advice in this regard.</w:t>
      </w:r>
    </w:p>
    <w:p>
      <w:pPr>
        <w:spacing w:after="0" w:line="195" w:lineRule="exact"/>
        <w:rPr>
          <w:rFonts w:ascii="Arial" w:cs="Arial" w:eastAsia="Arial" w:hAnsi="Arial"/>
          <w:sz w:val="22"/>
          <w:szCs w:val="22"/>
          <w:color w:val="auto"/>
        </w:rPr>
      </w:pPr>
    </w:p>
    <w:p>
      <w:pPr>
        <w:ind w:left="500" w:hanging="492"/>
        <w:spacing w:after="0"/>
        <w:tabs>
          <w:tab w:leader="none" w:pos="5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Data Protection Privacy Notice</w:t>
      </w:r>
    </w:p>
    <w:p>
      <w:pPr>
        <w:spacing w:after="0" w:line="206" w:lineRule="exact"/>
        <w:rPr>
          <w:rFonts w:ascii="Arial" w:cs="Arial" w:eastAsia="Arial" w:hAnsi="Arial"/>
          <w:sz w:val="22"/>
          <w:szCs w:val="22"/>
          <w:color w:val="auto"/>
        </w:rPr>
      </w:pPr>
    </w:p>
    <w:p>
      <w:pPr>
        <w:jc w:val="both"/>
        <w:ind w:left="520"/>
        <w:spacing w:after="0" w:line="356" w:lineRule="auto"/>
        <w:rPr>
          <w:rFonts w:ascii="Arial" w:cs="Arial" w:eastAsia="Arial" w:hAnsi="Arial"/>
          <w:sz w:val="22"/>
          <w:szCs w:val="22"/>
          <w:color w:val="auto"/>
        </w:rPr>
      </w:pPr>
      <w:r>
        <w:rPr>
          <w:rFonts w:ascii="Arial" w:cs="Arial" w:eastAsia="Arial" w:hAnsi="Arial"/>
          <w:sz w:val="19"/>
          <w:szCs w:val="19"/>
          <w:color w:val="auto"/>
        </w:rPr>
        <w:t>That, if the Participant is located inside of the EEA, any data protection policy (or policies) of GXO or any Group Member and/or data privacy notice(s) that are applicable to the Participant will apply to the processing of the Participant’s personal data. The GXO Employee Data Protection Privacy Notice can be found on myGXO.GXO.com under Career/Policies.</w:t>
      </w:r>
    </w:p>
    <w:p>
      <w:pPr>
        <w:spacing w:after="0" w:line="67" w:lineRule="exact"/>
        <w:rPr>
          <w:rFonts w:ascii="Arial" w:cs="Arial" w:eastAsia="Arial" w:hAnsi="Arial"/>
          <w:sz w:val="22"/>
          <w:szCs w:val="22"/>
          <w:color w:val="auto"/>
        </w:rPr>
      </w:pPr>
    </w:p>
    <w:p>
      <w:pPr>
        <w:ind w:left="520" w:right="20"/>
        <w:spacing w:after="0" w:line="302" w:lineRule="auto"/>
        <w:rPr>
          <w:rFonts w:ascii="Arial" w:cs="Arial" w:eastAsia="Arial" w:hAnsi="Arial"/>
          <w:sz w:val="22"/>
          <w:szCs w:val="22"/>
          <w:color w:val="auto"/>
        </w:rPr>
      </w:pPr>
      <w:r>
        <w:rPr>
          <w:rFonts w:ascii="Arial" w:cs="Arial" w:eastAsia="Arial" w:hAnsi="Arial"/>
          <w:sz w:val="22"/>
          <w:szCs w:val="22"/>
          <w:color w:val="auto"/>
        </w:rPr>
        <w:t>That, if the Participant is located outside of the EEA, the processing of the Participant’s Data may be governed by local and/or other international laws, as well as the General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50"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Protection Regulation (GDPR) as mentioned in the GXO Employee Privacy Notice. By participating in one of the GXO’s share plans, the Participant is deemed to consent to the processing of the Participant’s personal data, in accordance with any data protection policy (or policies) of GXO or any Group Member and/or data privacy notice(s) that are applicable to the Participant. The GXO Employee Data Protection Privacy Notice can be found on myGXO.GXO.com under Career/Policies.</w:t>
      </w:r>
    </w:p>
    <w:p>
      <w:pPr>
        <w:spacing w:after="0" w:line="194"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Insider Trading/Market Abuse Laws</w:t>
      </w:r>
    </w:p>
    <w:p>
      <w:pPr>
        <w:spacing w:after="0" w:line="260" w:lineRule="exact"/>
        <w:rPr>
          <w:rFonts w:ascii="Arial" w:cs="Arial" w:eastAsia="Arial" w:hAnsi="Arial"/>
          <w:sz w:val="22"/>
          <w:szCs w:val="22"/>
          <w:color w:val="auto"/>
        </w:rPr>
      </w:pPr>
    </w:p>
    <w:p>
      <w:pPr>
        <w:jc w:val="both"/>
        <w:ind w:left="520"/>
        <w:spacing w:after="0" w:line="332" w:lineRule="auto"/>
        <w:rPr>
          <w:rFonts w:ascii="Arial" w:cs="Arial" w:eastAsia="Arial" w:hAnsi="Arial"/>
          <w:sz w:val="22"/>
          <w:szCs w:val="22"/>
          <w:color w:val="auto"/>
        </w:rPr>
      </w:pPr>
      <w:r>
        <w:rPr>
          <w:rFonts w:ascii="Arial" w:cs="Arial" w:eastAsia="Arial" w:hAnsi="Arial"/>
          <w:sz w:val="19"/>
          <w:szCs w:val="19"/>
          <w:color w:val="auto"/>
        </w:rPr>
        <w:t>That the Participant may be subject to insider trading restrictions and/or market abuse laws in applicable jurisdictions, which may affect the Participant’s ability to directly or indirectly, accept, acquire, sell or attempt to sell or otherwise dispose of Shares or rights to the Shares, or rights linked to the value of Shares during such times as the Participant is considered to have “inside information” regarding the Company (as defined by the laws and/or regulations in applicable jurisdictions or the Participant’s country). Local insider trading laws and regulations may prohibit the cancellation or amendment of orders placed by the Participant before possessing the inside information. Furthermore, the Participant may be prohibited from (a) disclosing inside information to any third party, including fellow employees (other than on a “need to know” basis) and (b) “tipping” third parties or otherwise inducing them to buy or sell securities.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spacing w:after="0" w:line="158" w:lineRule="exact"/>
        <w:rPr>
          <w:rFonts w:ascii="Arial" w:cs="Arial" w:eastAsia="Arial" w:hAnsi="Arial"/>
          <w:sz w:val="22"/>
          <w:szCs w:val="22"/>
          <w:color w:val="auto"/>
        </w:rPr>
      </w:pPr>
    </w:p>
    <w:p>
      <w:pPr>
        <w:ind w:left="500" w:hanging="492"/>
        <w:spacing w:after="0"/>
        <w:tabs>
          <w:tab w:leader="none" w:pos="5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Language</w:t>
      </w:r>
    </w:p>
    <w:p>
      <w:pPr>
        <w:spacing w:after="0" w:line="260" w:lineRule="exact"/>
        <w:rPr>
          <w:rFonts w:ascii="Arial" w:cs="Arial" w:eastAsia="Arial" w:hAnsi="Arial"/>
          <w:sz w:val="22"/>
          <w:szCs w:val="22"/>
          <w:color w:val="auto"/>
        </w:rPr>
      </w:pPr>
    </w:p>
    <w:p>
      <w:pPr>
        <w:jc w:val="both"/>
        <w:ind w:left="520"/>
        <w:spacing w:after="0" w:line="288" w:lineRule="auto"/>
        <w:rPr>
          <w:rFonts w:ascii="Arial" w:cs="Arial" w:eastAsia="Arial" w:hAnsi="Arial"/>
          <w:sz w:val="22"/>
          <w:szCs w:val="22"/>
          <w:color w:val="auto"/>
        </w:rPr>
      </w:pPr>
      <w:r>
        <w:rPr>
          <w:rFonts w:ascii="Arial" w:cs="Arial" w:eastAsia="Arial" w:hAnsi="Arial"/>
          <w:sz w:val="22"/>
          <w:szCs w:val="22"/>
          <w:color w:val="auto"/>
        </w:rPr>
        <w:t>That the Participant is sufficiently proficient in English to understand the terms and conditions of this Award Agreement. Furthermore, if the Participant has received this Award Agreement, or any other document related to the Award and/or the Plan translated into a language other than English and if the meaning of the translated version is different from the English version, the English version will control.</w:t>
      </w:r>
    </w:p>
    <w:p>
      <w:pPr>
        <w:spacing w:after="0" w:line="130"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APPLICABLE TO EMPLOYEES IN PARTICULAR JURISDICTIONS</w:t>
      </w:r>
    </w:p>
    <w:p>
      <w:pPr>
        <w:spacing w:after="0" w:line="274"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Belgium</w:t>
      </w:r>
    </w:p>
    <w:p>
      <w:pPr>
        <w:spacing w:after="0" w:line="266" w:lineRule="exact"/>
        <w:rPr>
          <w:sz w:val="20"/>
          <w:szCs w:val="20"/>
          <w:color w:val="auto"/>
        </w:rPr>
      </w:pPr>
    </w:p>
    <w:p>
      <w:pPr>
        <w:ind w:left="520" w:hanging="509"/>
        <w:spacing w:after="0" w:line="302" w:lineRule="auto"/>
        <w:tabs>
          <w:tab w:leader="none" w:pos="5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22"/>
          <w:szCs w:val="22"/>
          <w:u w:val="single" w:color="auto"/>
          <w:color w:val="auto"/>
        </w:rPr>
        <w:t>Foreign Asset / Account Reporting</w:t>
      </w:r>
      <w:r>
        <w:rPr>
          <w:rFonts w:ascii="Arial" w:cs="Arial" w:eastAsia="Arial" w:hAnsi="Arial"/>
          <w:sz w:val="22"/>
          <w:szCs w:val="22"/>
          <w:color w:val="auto"/>
        </w:rPr>
        <w:t>. Belgian residents are required to report any securities held (including Shares) or bank</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accounts opened outside Belgium (</w:t>
      </w:r>
      <w:r>
        <w:rPr>
          <w:rFonts w:ascii="Arial" w:cs="Arial" w:eastAsia="Arial" w:hAnsi="Arial"/>
          <w:sz w:val="22"/>
          <w:szCs w:val="22"/>
          <w:i w:val="1"/>
          <w:iCs w:val="1"/>
          <w:color w:val="auto"/>
        </w:rPr>
        <w:t>e.g.</w:t>
      </w:r>
      <w:r>
        <w:rPr>
          <w:rFonts w:ascii="Arial" w:cs="Arial" w:eastAsia="Arial" w:hAnsi="Arial"/>
          <w:sz w:val="22"/>
          <w:szCs w:val="22"/>
          <w:color w:val="auto"/>
        </w:rPr>
        <w:t>, any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18"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color w:val="auto"/>
        </w:rPr>
        <w:t xml:space="preserve">account opened in connection with the Plan) in their annual tax return. Furthermore, Belgian residents will also be required to provide a central contact point of the National Bank of Belgium with the account number of those foreign bank accounts, the name of the bank with which the accounts were opened and the country in which they were opened in a separate report. This report, as well as additional information on how to complete it, can be found on the website of the National Bank of Belgium, </w:t>
      </w:r>
      <w:r>
        <w:rPr>
          <w:rFonts w:ascii="Arial" w:cs="Arial" w:eastAsia="Arial" w:hAnsi="Arial"/>
          <w:sz w:val="19"/>
          <w:szCs w:val="19"/>
          <w:u w:val="single" w:color="auto"/>
          <w:color w:val="0000FF"/>
        </w:rPr>
        <w:t>www.nbb.be</w:t>
      </w:r>
      <w:r>
        <w:rPr>
          <w:rFonts w:ascii="Arial" w:cs="Arial" w:eastAsia="Arial" w:hAnsi="Arial"/>
          <w:sz w:val="19"/>
          <w:szCs w:val="19"/>
          <w:color w:val="auto"/>
        </w:rPr>
        <w:t xml:space="preserve">, under the </w:t>
      </w:r>
      <w:r>
        <w:rPr>
          <w:rFonts w:ascii="Arial" w:cs="Arial" w:eastAsia="Arial" w:hAnsi="Arial"/>
          <w:sz w:val="19"/>
          <w:szCs w:val="19"/>
          <w:i w:val="1"/>
          <w:iCs w:val="1"/>
          <w:color w:val="auto"/>
        </w:rPr>
        <w:t>Kredietcentrales / Centrales des credits</w:t>
      </w:r>
      <w:r>
        <w:rPr>
          <w:rFonts w:ascii="Arial" w:cs="Arial" w:eastAsia="Arial" w:hAnsi="Arial"/>
          <w:sz w:val="19"/>
          <w:szCs w:val="19"/>
          <w:color w:val="auto"/>
        </w:rPr>
        <w:t xml:space="preserve"> caption.</w:t>
      </w:r>
    </w:p>
    <w:p>
      <w:pPr>
        <w:spacing w:after="0" w:line="149" w:lineRule="exact"/>
        <w:rPr>
          <w:sz w:val="20"/>
          <w:szCs w:val="20"/>
          <w:color w:val="auto"/>
        </w:rPr>
      </w:pPr>
    </w:p>
    <w:p>
      <w:pPr>
        <w:jc w:val="both"/>
        <w:ind w:left="520" w:hanging="509"/>
        <w:spacing w:after="0" w:line="341" w:lineRule="auto"/>
        <w:tabs>
          <w:tab w:leader="none" w:pos="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9"/>
          <w:szCs w:val="19"/>
          <w:u w:val="single" w:color="auto"/>
          <w:color w:val="auto"/>
        </w:rPr>
        <w:t>Annual Securities Account Tax</w:t>
      </w:r>
      <w:r>
        <w:rPr>
          <w:rFonts w:ascii="Arial" w:cs="Arial" w:eastAsia="Arial" w:hAnsi="Arial"/>
          <w:sz w:val="19"/>
          <w:szCs w:val="19"/>
          <w:color w:val="auto"/>
        </w:rPr>
        <w:t>. An annual securities tax may be payable if the total value of securities held in a Belgian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foreign securities account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exceeds a certain threshold on four reference dates within the relevant reporting period (</w:t>
      </w:r>
      <w:r>
        <w:rPr>
          <w:rFonts w:ascii="Arial" w:cs="Arial" w:eastAsia="Arial" w:hAnsi="Arial"/>
          <w:sz w:val="19"/>
          <w:szCs w:val="19"/>
          <w:i w:val="1"/>
          <w:iCs w:val="1"/>
          <w:color w:val="auto"/>
        </w:rPr>
        <w:t>i.e.</w:t>
      </w:r>
      <w:r>
        <w:rPr>
          <w:rFonts w:ascii="Arial" w:cs="Arial" w:eastAsia="Arial" w:hAnsi="Arial"/>
          <w:sz w:val="19"/>
          <w:szCs w:val="19"/>
          <w:color w:val="auto"/>
        </w:rPr>
        <w:t xml:space="preserve">, December 31, March 31, June 30, and September 30). In such case, the tax will be due on the value of the qualifying securities held in such account. The </w:t>
      </w:r>
      <w:r>
        <w:rPr>
          <w:rFonts w:ascii="Arial" w:cs="Arial" w:eastAsia="Arial" w:hAnsi="Arial"/>
          <w:sz w:val="19"/>
          <w:szCs w:val="19"/>
          <w:i w:val="1"/>
          <w:iCs w:val="1"/>
          <w:color w:val="auto"/>
        </w:rPr>
        <w:t>Participant should consult with a personal tax or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advisor for additional details on the Participant's obligations with respect to the annual securities tax.</w:t>
      </w:r>
    </w:p>
    <w:p>
      <w:pPr>
        <w:spacing w:after="0" w:line="14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Canada</w:t>
      </w:r>
    </w:p>
    <w:p>
      <w:pPr>
        <w:spacing w:after="0" w:line="2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9"/>
          <w:szCs w:val="19"/>
          <w:u w:val="single" w:color="auto"/>
          <w:color w:val="auto"/>
        </w:rPr>
        <w:t>English language</w:t>
      </w:r>
    </w:p>
    <w:p>
      <w:pPr>
        <w:spacing w:after="0" w:line="227"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By accepting the Award, the Participant acknowledges that the Participant has expressly requested that all documents evidencing or relating in any way to the grant of the Award (including, for greater certainty, any confirmation or any notice) will be in the English language only.</w:t>
      </w:r>
    </w:p>
    <w:p>
      <w:pPr>
        <w:spacing w:after="0" w:line="106" w:lineRule="exact"/>
        <w:rPr>
          <w:sz w:val="20"/>
          <w:szCs w:val="20"/>
          <w:color w:val="auto"/>
        </w:rPr>
      </w:pPr>
    </w:p>
    <w:p>
      <w:pPr>
        <w:jc w:val="both"/>
        <w:ind w:left="520"/>
        <w:spacing w:after="0" w:line="311" w:lineRule="auto"/>
        <w:rPr>
          <w:sz w:val="20"/>
          <w:szCs w:val="20"/>
          <w:color w:val="auto"/>
        </w:rPr>
      </w:pPr>
      <w:r>
        <w:rPr>
          <w:rFonts w:ascii="Arial" w:cs="Arial" w:eastAsia="Arial" w:hAnsi="Arial"/>
          <w:sz w:val="21"/>
          <w:szCs w:val="21"/>
          <w:i w:val="1"/>
          <w:iCs w:val="1"/>
          <w:color w:val="auto"/>
        </w:rPr>
        <w:t>Si vous êtes résident de Québec, vous reconnaissez, en acceptant l'allocation effectuée à votre profit, avoir expressément exigé que tous les documents relatifs à cette allocation ou s'y rapportant de quelque manière que ce soit (incluant, pour plus de certitude, toute confirmation ou tout avis) soient rédigés en anglais uniquement.</w:t>
      </w:r>
    </w:p>
    <w:p>
      <w:pPr>
        <w:spacing w:after="0" w:line="10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9"/>
          <w:szCs w:val="19"/>
          <w:u w:val="single" w:color="auto"/>
          <w:color w:val="auto"/>
        </w:rPr>
        <w:t>Securities laws</w:t>
      </w:r>
    </w:p>
    <w:p>
      <w:pPr>
        <w:spacing w:after="0" w:line="227" w:lineRule="exact"/>
        <w:rPr>
          <w:sz w:val="20"/>
          <w:szCs w:val="20"/>
          <w:color w:val="auto"/>
        </w:rPr>
      </w:pPr>
    </w:p>
    <w:p>
      <w:pPr>
        <w:jc w:val="both"/>
        <w:ind w:left="520"/>
        <w:spacing w:after="0" w:line="306" w:lineRule="auto"/>
        <w:rPr>
          <w:sz w:val="20"/>
          <w:szCs w:val="20"/>
          <w:color w:val="auto"/>
        </w:rPr>
      </w:pPr>
      <w:r>
        <w:rPr>
          <w:rFonts w:ascii="Arial" w:cs="Arial" w:eastAsia="Arial" w:hAnsi="Arial"/>
          <w:sz w:val="21"/>
          <w:szCs w:val="21"/>
          <w:color w:val="auto"/>
        </w:rPr>
        <w:t>In addition to any restrictions on resale and transfer noted in the Plan documents, Shares acquired pursuant to the Plan will be subject to certain restrictions on resale imposed by Canadian provincial securities laws (in general, participants in the offering who are resident in Canada may not resell their Shares to Canadian purchasers). Accordingly, prospective participants are encouraged to seek legal advice prior to any resale of such Shares.</w:t>
      </w:r>
    </w:p>
    <w:p>
      <w:pPr>
        <w:spacing w:after="0" w:line="91"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By accepting the Award, the Participant represents and warrants to GXO that their participation in the Plan is voluntary and that they have not been induced to participate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0"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expectation of engagement, appointment, employment, continued engagement, continued appointment or continued employment, as applicable.</w:t>
      </w:r>
    </w:p>
    <w:p>
      <w:pPr>
        <w:spacing w:after="0" w:line="9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9"/>
          <w:szCs w:val="19"/>
          <w:u w:val="single" w:color="auto"/>
          <w:color w:val="auto"/>
        </w:rPr>
        <w:t>Settlement in Shares Only</w:t>
      </w:r>
    </w:p>
    <w:p>
      <w:pPr>
        <w:spacing w:after="0" w:line="241" w:lineRule="exact"/>
        <w:rPr>
          <w:sz w:val="20"/>
          <w:szCs w:val="20"/>
          <w:color w:val="auto"/>
        </w:rPr>
      </w:pPr>
    </w:p>
    <w:p>
      <w:pPr>
        <w:jc w:val="both"/>
        <w:ind w:left="520" w:right="20"/>
        <w:spacing w:after="0" w:line="302" w:lineRule="auto"/>
        <w:rPr>
          <w:sz w:val="20"/>
          <w:szCs w:val="20"/>
          <w:color w:val="auto"/>
        </w:rPr>
      </w:pPr>
      <w:r>
        <w:rPr>
          <w:rFonts w:ascii="Arial" w:cs="Arial" w:eastAsia="Arial" w:hAnsi="Arial"/>
          <w:sz w:val="22"/>
          <w:szCs w:val="22"/>
          <w:color w:val="auto"/>
        </w:rPr>
        <w:t>Notwithstanding any term in the Plan or the particular Award Agreement, an Award received by a Canadian resident Participant shall only be settled in Shares, and not in cash or any other property.</w:t>
      </w:r>
    </w:p>
    <w:p>
      <w:pPr>
        <w:spacing w:after="0" w:line="1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9"/>
          <w:szCs w:val="19"/>
          <w:u w:val="single" w:color="auto"/>
          <w:color w:val="auto"/>
        </w:rPr>
        <w:t>Termination of Employment</w:t>
      </w:r>
    </w:p>
    <w:p>
      <w:pPr>
        <w:spacing w:after="0" w:line="227" w:lineRule="exact"/>
        <w:rPr>
          <w:sz w:val="20"/>
          <w:szCs w:val="20"/>
          <w:color w:val="auto"/>
        </w:rPr>
      </w:pPr>
    </w:p>
    <w:p>
      <w:pPr>
        <w:jc w:val="both"/>
        <w:ind w:left="1280" w:hanging="765"/>
        <w:spacing w:after="0" w:line="356" w:lineRule="auto"/>
        <w:tabs>
          <w:tab w:leader="none" w:pos="12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9"/>
          <w:szCs w:val="19"/>
          <w:color w:val="auto"/>
        </w:rPr>
        <w:t>By accepting the Award, the Participant acknowledges that the Participant has read and understood Section 3(b) (“Termination of Employment”) in the Award Agreement and that if the Participant's employment is terminated, in certain circumstances the PSUs may be forfeited (for example, where the employment is terminated for cause).</w:t>
      </w:r>
    </w:p>
    <w:p>
      <w:pPr>
        <w:spacing w:after="0" w:line="67"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9"/>
          <w:szCs w:val="19"/>
          <w:color w:val="auto"/>
        </w:rPr>
        <w:t>The following provision replaces the first sentence of Section 3(b) of the Award Agreement:</w:t>
      </w:r>
    </w:p>
    <w:p>
      <w:pPr>
        <w:spacing w:after="0" w:line="214" w:lineRule="exact"/>
        <w:rPr>
          <w:sz w:val="20"/>
          <w:szCs w:val="20"/>
          <w:color w:val="auto"/>
        </w:rPr>
      </w:pPr>
    </w:p>
    <w:p>
      <w:pPr>
        <w:jc w:val="both"/>
        <w:ind w:left="1280"/>
        <w:spacing w:after="0" w:line="356" w:lineRule="auto"/>
        <w:rPr>
          <w:sz w:val="20"/>
          <w:szCs w:val="20"/>
          <w:color w:val="auto"/>
        </w:rPr>
      </w:pPr>
      <w:r>
        <w:rPr>
          <w:rFonts w:ascii="Arial" w:cs="Arial" w:eastAsia="Arial" w:hAnsi="Arial"/>
          <w:sz w:val="19"/>
          <w:szCs w:val="19"/>
          <w:color w:val="auto"/>
        </w:rPr>
        <w:t>For purposes of the PSUs, the Participant’s termination of employment occurs and, unless otherwise expressly provided in this Award Agreement or otherwise determined by the Company, the Participant’s right to vest in any portion of the PSUs under the Plan, if any, will terminate, as of the date that is the earliest of:</w:t>
      </w:r>
    </w:p>
    <w:p>
      <w:pPr>
        <w:spacing w:after="0" w:line="67" w:lineRule="exact"/>
        <w:rPr>
          <w:sz w:val="20"/>
          <w:szCs w:val="20"/>
          <w:color w:val="auto"/>
        </w:rPr>
      </w:pPr>
    </w:p>
    <w:p>
      <w:pPr>
        <w:ind w:left="1560" w:hanging="256"/>
        <w:spacing w:after="0"/>
        <w:tabs>
          <w:tab w:leader="none" w:pos="15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date on which the Participant’s employment or service to the Company or any Affiliate is terminated,</w:t>
      </w:r>
    </w:p>
    <w:p>
      <w:pPr>
        <w:spacing w:after="0" w:line="204" w:lineRule="exact"/>
        <w:rPr>
          <w:rFonts w:ascii="Arial" w:cs="Arial" w:eastAsia="Arial" w:hAnsi="Arial"/>
          <w:sz w:val="21"/>
          <w:szCs w:val="21"/>
          <w:color w:val="auto"/>
        </w:rPr>
      </w:pPr>
    </w:p>
    <w:p>
      <w:pPr>
        <w:ind w:left="1620" w:hanging="316"/>
        <w:spacing w:after="0"/>
        <w:tabs>
          <w:tab w:leader="none" w:pos="1620"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date the Participant receives written notice of termination from the Company or the Employer, or</w:t>
      </w:r>
    </w:p>
    <w:p>
      <w:pPr>
        <w:spacing w:after="0" w:line="190" w:lineRule="exact"/>
        <w:rPr>
          <w:rFonts w:ascii="Arial" w:cs="Arial" w:eastAsia="Arial" w:hAnsi="Arial"/>
          <w:sz w:val="21"/>
          <w:szCs w:val="21"/>
          <w:color w:val="auto"/>
        </w:rPr>
      </w:pPr>
    </w:p>
    <w:p>
      <w:pPr>
        <w:jc w:val="both"/>
        <w:ind w:left="1280" w:firstLine="4"/>
        <w:spacing w:after="0" w:line="338" w:lineRule="auto"/>
        <w:tabs>
          <w:tab w:leader="none" w:pos="167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date the Participant is no longer actively employed by, or actively providing services to, the Company or any Affiliate (except where such inactive service results from a leave of absence that is required to be provided to the Participant under applicable law), and in each case: (i) regardless of the reason of such cessation or termination; (ii) whether or not such cessation or termination is (or is later found to be) unlawful, or invalid, or in breach of applicable laws (including, but not limited to, employment-related statutory and/or common and/or civil law, or other laws or rules in the jurisdiction where the Participant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providing services), or in breach of the terms of the Participant’s employment or service agreement, if any.</w:t>
      </w:r>
    </w:p>
    <w:p>
      <w:pPr>
        <w:spacing w:after="0" w:line="191" w:lineRule="exact"/>
        <w:rPr>
          <w:sz w:val="20"/>
          <w:szCs w:val="20"/>
          <w:color w:val="auto"/>
        </w:rPr>
      </w:pPr>
    </w:p>
    <w:p>
      <w:pPr>
        <w:jc w:val="both"/>
        <w:ind w:left="1280"/>
        <w:spacing w:after="0" w:line="333" w:lineRule="auto"/>
        <w:rPr>
          <w:sz w:val="20"/>
          <w:szCs w:val="20"/>
          <w:color w:val="auto"/>
        </w:rPr>
      </w:pPr>
      <w:r>
        <w:rPr>
          <w:rFonts w:ascii="Arial" w:cs="Arial" w:eastAsia="Arial" w:hAnsi="Arial"/>
          <w:sz w:val="19"/>
          <w:szCs w:val="19"/>
          <w:color w:val="auto"/>
        </w:rPr>
        <w:t>For clarity, in each case, such date will be determined regardless of (and will not be extended by) any notice period or severance period or period of compensation in lieu of such notice or period of “garden leave” or any similar period to which the Participant claims to be entitled, whether mandated under applicable laws (including, but not limited to, employment-related statutory law and/or common law and/or civil law), or claimed by the Participant under the terms of the Participant’s employment or service agreement (if any), or claimed by the Participant on any other basis whatsoever. The Committee shall have exclusive discretion to determine when the Participant ceases to be an employee or is no longer actively employed for purposes of the Participant’s participation in the Plan (including whether the Participant may still be considered to be providing services while on a leave of absence that is not required to be provided to the Participant under applicable law).</w:t>
      </w:r>
    </w:p>
    <w:p>
      <w:pPr>
        <w:spacing w:after="0" w:line="93" w:lineRule="exact"/>
        <w:rPr>
          <w:sz w:val="20"/>
          <w:szCs w:val="20"/>
          <w:color w:val="auto"/>
        </w:rPr>
      </w:pPr>
    </w:p>
    <w:p>
      <w:pPr>
        <w:jc w:val="both"/>
        <w:ind w:left="520" w:hanging="509"/>
        <w:spacing w:after="0" w:line="299" w:lineRule="auto"/>
        <w:tabs>
          <w:tab w:leader="none" w:pos="5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Foreign specified property, including Shares and rights to receive Shares (</w:t>
      </w:r>
      <w:r>
        <w:rPr>
          <w:rFonts w:ascii="Arial" w:cs="Arial" w:eastAsia="Arial" w:hAnsi="Arial"/>
          <w:sz w:val="21"/>
          <w:szCs w:val="21"/>
          <w:i w:val="1"/>
          <w:iCs w:val="1"/>
          <w:color w:val="auto"/>
        </w:rPr>
        <w:t>e.g.</w:t>
      </w:r>
      <w:r>
        <w:rPr>
          <w:rFonts w:ascii="Arial" w:cs="Arial" w:eastAsia="Arial" w:hAnsi="Arial"/>
          <w:sz w:val="21"/>
          <w:szCs w:val="21"/>
          <w:color w:val="auto"/>
        </w:rPr>
        <w:t>, PSUs),</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must be reported annually on a Form T1135 (Foreign Income Verification Statement) if the total cost of the Participant’s foreign specified property exceeds C$100,000 at any time during the year. Thus, PSUs must be reported - generally at a nil cost - if the C$100,000 cost threshold is exceeded because of other foreign specified property the Participant holds. When Shares are acquired, their cost generally is the adjusted cost base (“ACB”) of the Shares. The ACB would ordinarily equal the fair market value of the Shares at the time of acquisition, but if other Shares are also owned, this ACB may have to be averaged with the ACB of the other Shares. </w:t>
      </w:r>
      <w:r>
        <w:rPr>
          <w:rFonts w:ascii="Arial" w:cs="Arial" w:eastAsia="Arial" w:hAnsi="Arial"/>
          <w:sz w:val="21"/>
          <w:szCs w:val="21"/>
          <w:i w:val="1"/>
          <w:iCs w:val="1"/>
          <w:color w:val="auto"/>
        </w:rPr>
        <w:t>The Participant should consult his or her personal tax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China</w:t>
      </w:r>
    </w:p>
    <w:p>
      <w:pPr>
        <w:spacing w:after="0" w:line="212" w:lineRule="exact"/>
        <w:rPr>
          <w:sz w:val="20"/>
          <w:szCs w:val="20"/>
          <w:color w:val="auto"/>
        </w:rPr>
      </w:pPr>
    </w:p>
    <w:p>
      <w:pPr>
        <w:jc w:val="both"/>
        <w:ind w:left="520" w:right="20" w:hanging="509"/>
        <w:spacing w:after="0" w:line="356" w:lineRule="auto"/>
        <w:tabs>
          <w:tab w:leader="none" w:pos="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9"/>
          <w:szCs w:val="19"/>
          <w:u w:val="single" w:color="auto"/>
          <w:color w:val="auto"/>
        </w:rPr>
        <w:t>Settlement in Cash Only</w:t>
      </w:r>
      <w:r>
        <w:rPr>
          <w:rFonts w:ascii="Arial" w:cs="Arial" w:eastAsia="Arial" w:hAnsi="Arial"/>
          <w:sz w:val="19"/>
          <w:szCs w:val="19"/>
          <w:color w:val="auto"/>
        </w:rPr>
        <w:t>. The following provision applies to the Participant to the extent that the Company, in its discretion,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determines that the Participant's participation in the Plan will be subject to exchange control restrictions in the People’s Republic of China (“PRC”), as implemented by the PRC State Administration of Foreign Exchange (“SAFE”):</w:t>
      </w:r>
    </w:p>
    <w:p>
      <w:pPr>
        <w:spacing w:after="0" w:line="81"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Notwithstanding any discretion in the Plan or anything to the contrary in the Award Agreement, the PSUs do not provide any right for the Participant to receive Shares. The Participant shall receive only a cash payment in an amount equal to the value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4" w:lineRule="exact"/>
        <w:rPr>
          <w:sz w:val="20"/>
          <w:szCs w:val="20"/>
          <w:color w:val="auto"/>
        </w:rPr>
      </w:pPr>
    </w:p>
    <w:p>
      <w:pPr>
        <w:jc w:val="both"/>
        <w:ind w:left="520"/>
        <w:spacing w:after="0" w:line="302" w:lineRule="auto"/>
        <w:rPr>
          <w:sz w:val="20"/>
          <w:szCs w:val="20"/>
          <w:color w:val="auto"/>
        </w:rPr>
      </w:pPr>
      <w:r>
        <w:rPr>
          <w:rFonts w:ascii="Arial" w:cs="Arial" w:eastAsia="Arial" w:hAnsi="Arial"/>
          <w:sz w:val="22"/>
          <w:szCs w:val="22"/>
          <w:color w:val="auto"/>
        </w:rPr>
        <w:t>on the Settlement Date based on the number of Shares determined under the Award Agreement (less any Tax-Related Items).</w:t>
      </w:r>
    </w:p>
    <w:p>
      <w:pPr>
        <w:spacing w:after="0" w:line="119" w:lineRule="exact"/>
        <w:rPr>
          <w:sz w:val="20"/>
          <w:szCs w:val="20"/>
          <w:color w:val="auto"/>
        </w:rPr>
      </w:pPr>
    </w:p>
    <w:p>
      <w:pPr>
        <w:jc w:val="both"/>
        <w:ind w:left="520"/>
        <w:spacing w:after="0" w:line="299" w:lineRule="auto"/>
        <w:rPr>
          <w:sz w:val="20"/>
          <w:szCs w:val="20"/>
          <w:color w:val="auto"/>
        </w:rPr>
      </w:pPr>
      <w:r>
        <w:rPr>
          <w:rFonts w:ascii="Arial" w:cs="Arial" w:eastAsia="Arial" w:hAnsi="Arial"/>
          <w:sz w:val="21"/>
          <w:szCs w:val="21"/>
          <w:color w:val="auto"/>
        </w:rPr>
        <w:t>Cash payments made to the Participant pursuant to the Award Agreement will be made to the Participant through the payroll of the Employer in China. In no event shall any payments to be made to the Participant pursuant to the Award Agreement be made into an account outside of China. Further, in no event shall any funds be transferred to China from outside China specifically to satisfy any payments made to the Participant pursuant to the Award Agreement. The Company reserves the right to make any necessary adjustments to the PSU Award and to require the Participant to sign any additional agreements or undertakings that may be necessary to effectuate this provision. Any provisions in this Award Agreement referring to the issuance of Shares pursuant to vested PSUs shall not be applicable to the Participant, and the Participant may not receive or hold Shares in connection with the PSUs granted under the Plan, so long as the Participant is subject to exchange control restrictions in China.</w:t>
      </w:r>
    </w:p>
    <w:p>
      <w:pPr>
        <w:spacing w:after="0" w:line="127" w:lineRule="exact"/>
        <w:rPr>
          <w:sz w:val="20"/>
          <w:szCs w:val="20"/>
          <w:color w:val="auto"/>
        </w:rPr>
      </w:pPr>
    </w:p>
    <w:p>
      <w:pPr>
        <w:jc w:val="both"/>
        <w:ind w:left="520"/>
        <w:spacing w:after="0" w:line="288" w:lineRule="auto"/>
        <w:rPr>
          <w:sz w:val="20"/>
          <w:szCs w:val="20"/>
          <w:color w:val="auto"/>
        </w:rPr>
      </w:pPr>
      <w:r>
        <w:rPr>
          <w:rFonts w:ascii="Arial" w:cs="Arial" w:eastAsia="Arial" w:hAnsi="Arial"/>
          <w:sz w:val="22"/>
          <w:szCs w:val="22"/>
          <w:color w:val="auto"/>
        </w:rPr>
        <w:t>The Participant acknowledges that, even though the Participant receives only a cash payment upon settlement of the PSUs, he or she may still be subject to certain exchange control requirements under local laws. The Participant should consult with his or her legal advisor to ensure compliance with any exchange control obligations arising from the Participant’s participation in the Plan.</w:t>
      </w:r>
    </w:p>
    <w:p>
      <w:pPr>
        <w:spacing w:after="0" w:line="184"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France</w:t>
      </w:r>
    </w:p>
    <w:p>
      <w:pPr>
        <w:spacing w:after="0" w:line="266" w:lineRule="exact"/>
        <w:rPr>
          <w:sz w:val="20"/>
          <w:szCs w:val="20"/>
          <w:color w:val="auto"/>
        </w:rPr>
      </w:pPr>
    </w:p>
    <w:p>
      <w:pPr>
        <w:ind w:left="520" w:hanging="509"/>
        <w:spacing w:after="0" w:line="302" w:lineRule="auto"/>
        <w:tabs>
          <w:tab w:leader="none" w:pos="5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22"/>
          <w:szCs w:val="22"/>
          <w:u w:val="single" w:color="auto"/>
          <w:color w:val="auto"/>
        </w:rPr>
        <w:t>PSU Type</w:t>
      </w:r>
      <w:r>
        <w:rPr>
          <w:rFonts w:ascii="Arial" w:cs="Arial" w:eastAsia="Arial" w:hAnsi="Arial"/>
          <w:sz w:val="22"/>
          <w:szCs w:val="22"/>
          <w:color w:val="auto"/>
        </w:rPr>
        <w:t>. The shares granted under the Plan do not qualify for special tax and social security regimes. Consequently, their</w:t>
      </w:r>
      <w:r>
        <w:rPr>
          <w:rFonts w:ascii="Arial" w:cs="Arial" w:eastAsia="Arial" w:hAnsi="Arial"/>
          <w:sz w:val="22"/>
          <w:szCs w:val="22"/>
          <w:u w:val="single" w:color="auto"/>
          <w:color w:val="auto"/>
        </w:rPr>
        <w:t xml:space="preserve"> </w:t>
      </w:r>
      <w:r>
        <w:rPr>
          <w:rFonts w:ascii="Arial" w:cs="Arial" w:eastAsia="Arial" w:hAnsi="Arial"/>
          <w:sz w:val="22"/>
          <w:szCs w:val="22"/>
          <w:color w:val="auto"/>
        </w:rPr>
        <w:t>tax and social security treatment will be as follows:</w:t>
      </w:r>
    </w:p>
    <w:p>
      <w:pPr>
        <w:spacing w:after="0" w:line="119" w:lineRule="exact"/>
        <w:rPr>
          <w:sz w:val="20"/>
          <w:szCs w:val="20"/>
          <w:color w:val="auto"/>
        </w:rPr>
      </w:pPr>
    </w:p>
    <w:p>
      <w:pPr>
        <w:jc w:val="right"/>
        <w:ind w:left="660" w:right="20" w:hanging="324"/>
        <w:spacing w:after="0" w:line="387" w:lineRule="auto"/>
        <w:rPr>
          <w:sz w:val="20"/>
          <w:szCs w:val="20"/>
          <w:color w:val="auto"/>
        </w:rPr>
      </w:pPr>
      <w:r>
        <w:rPr>
          <w:rFonts w:ascii="Arial" w:cs="Arial" w:eastAsia="Arial" w:hAnsi="Arial"/>
          <w:sz w:val="19"/>
          <w:szCs w:val="19"/>
          <w:color w:val="auto"/>
        </w:rPr>
        <w:t>–  The PSU gain is taxed as a salary at the date giving rise to taxation, i.e. at vesting regardless of the fact the shares have been sold or not. This gain is therefore subject to a withholding tax in the same way as a salary and other benefits in kind.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The gain must be reported in the gross salary and subject to social security charges</w:t>
      </w:r>
    </w:p>
    <w:p>
      <w:pPr>
        <w:spacing w:after="0" w:line="260" w:lineRule="exact"/>
        <w:rPr>
          <w:sz w:val="20"/>
          <w:szCs w:val="20"/>
          <w:color w:val="auto"/>
        </w:rPr>
      </w:pPr>
    </w:p>
    <w:p>
      <w:pPr>
        <w:jc w:val="both"/>
        <w:ind w:left="520" w:hanging="509"/>
        <w:spacing w:after="0" w:line="291" w:lineRule="auto"/>
        <w:tabs>
          <w:tab w:leader="none" w:pos="5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22"/>
          <w:szCs w:val="22"/>
          <w:u w:val="single" w:color="auto"/>
          <w:color w:val="auto"/>
        </w:rPr>
        <w:t>Language Consent</w:t>
      </w:r>
      <w:r>
        <w:rPr>
          <w:rFonts w:ascii="Arial" w:cs="Arial" w:eastAsia="Arial" w:hAnsi="Arial"/>
          <w:sz w:val="22"/>
          <w:szCs w:val="22"/>
          <w:color w:val="auto"/>
        </w:rPr>
        <w:t>. By accepting the grant of the PSUs, the Participant confirms having read and understood the documents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related to the grant (the Award Agreement and the Plan), which were provided in the English language. The Participant accepts the terms of those documents accordingly.</w:t>
      </w:r>
    </w:p>
    <w:p>
      <w:pPr>
        <w:spacing w:after="0" w:line="187" w:lineRule="exact"/>
        <w:rPr>
          <w:sz w:val="20"/>
          <w:szCs w:val="20"/>
          <w:color w:val="auto"/>
        </w:rPr>
      </w:pPr>
    </w:p>
    <w:p>
      <w:pPr>
        <w:ind w:left="520"/>
        <w:spacing w:after="0" w:line="302" w:lineRule="auto"/>
        <w:rPr>
          <w:sz w:val="20"/>
          <w:szCs w:val="20"/>
          <w:color w:val="auto"/>
        </w:rPr>
      </w:pPr>
      <w:r>
        <w:rPr>
          <w:rFonts w:ascii="Arial" w:cs="Arial" w:eastAsia="Arial" w:hAnsi="Arial"/>
          <w:sz w:val="22"/>
          <w:szCs w:val="22"/>
          <w:i w:val="1"/>
          <w:iCs w:val="1"/>
          <w:color w:val="auto"/>
        </w:rPr>
        <w:t>En acceptant l’attribution du droit sur des actions assujetti à des restrictions (“PSUs”), le Participant confirme avoir lu et compris les documents relatifs à l’attribution (le Contrat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18" w:lineRule="exact"/>
        <w:rPr>
          <w:sz w:val="20"/>
          <w:szCs w:val="20"/>
          <w:color w:val="auto"/>
        </w:rPr>
      </w:pPr>
    </w:p>
    <w:p>
      <w:pPr>
        <w:ind w:left="520"/>
        <w:spacing w:after="0" w:line="302" w:lineRule="auto"/>
        <w:rPr>
          <w:sz w:val="20"/>
          <w:szCs w:val="20"/>
          <w:color w:val="auto"/>
        </w:rPr>
      </w:pPr>
      <w:r>
        <w:rPr>
          <w:rFonts w:ascii="Arial" w:cs="Arial" w:eastAsia="Arial" w:hAnsi="Arial"/>
          <w:sz w:val="22"/>
          <w:szCs w:val="22"/>
          <w:i w:val="1"/>
          <w:iCs w:val="1"/>
          <w:color w:val="auto"/>
        </w:rPr>
        <w:t>et le Plan) qui ont été fournis en langue anglaise. Le Participant accepte les dispositions de ces documents en connaissance de cause</w:t>
      </w:r>
      <w:r>
        <w:rPr>
          <w:rFonts w:ascii="Arial" w:cs="Arial" w:eastAsia="Arial" w:hAnsi="Arial"/>
          <w:sz w:val="19"/>
          <w:szCs w:val="19"/>
          <w:i w:val="1"/>
          <w:iCs w:val="1"/>
          <w:color w:val="auto"/>
        </w:rPr>
        <w:t>.</w:t>
      </w:r>
    </w:p>
    <w:p>
      <w:pPr>
        <w:spacing w:after="0" w:line="119" w:lineRule="exact"/>
        <w:rPr>
          <w:sz w:val="20"/>
          <w:szCs w:val="20"/>
          <w:color w:val="auto"/>
        </w:rPr>
      </w:pPr>
    </w:p>
    <w:p>
      <w:pPr>
        <w:ind w:left="520" w:hanging="509"/>
        <w:spacing w:after="0" w:line="327" w:lineRule="auto"/>
        <w:tabs>
          <w:tab w:leader="none" w:pos="5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French residents may hold Shares acquired under the Plan outside France, provided</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they declare all foreign accounts, whether open, current, or closed, in the their income tax return.</w:t>
      </w:r>
    </w:p>
    <w:p>
      <w:pPr>
        <w:spacing w:after="0" w:line="146"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India</w:t>
      </w:r>
    </w:p>
    <w:p>
      <w:pPr>
        <w:spacing w:after="0" w:line="266" w:lineRule="exact"/>
        <w:rPr>
          <w:sz w:val="20"/>
          <w:szCs w:val="20"/>
          <w:color w:val="auto"/>
        </w:rPr>
      </w:pPr>
    </w:p>
    <w:p>
      <w:pPr>
        <w:jc w:val="both"/>
        <w:ind w:left="520" w:hanging="509"/>
        <w:spacing w:after="0" w:line="288" w:lineRule="auto"/>
        <w:tabs>
          <w:tab w:leader="none" w:pos="5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22"/>
          <w:szCs w:val="22"/>
          <w:u w:val="single" w:color="auto"/>
          <w:color w:val="auto"/>
        </w:rPr>
        <w:t>Settlement in Cash Only</w:t>
      </w:r>
      <w:r>
        <w:rPr>
          <w:rFonts w:ascii="Arial" w:cs="Arial" w:eastAsia="Arial" w:hAnsi="Arial"/>
          <w:sz w:val="22"/>
          <w:szCs w:val="22"/>
          <w:color w:val="auto"/>
        </w:rPr>
        <w:t>. Notwithstanding any discretion in the Plan or anything to the contrary in the Award Agreement,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PSUs do not provide any right for the Participant to receive Shares. The Participant shall receive only a cash payment in an amount equal to the value of the Shares on the vesting date based on the number of Shares determined under the Award Agreement (less any Tax-Related Items).</w:t>
      </w:r>
    </w:p>
    <w:p>
      <w:pPr>
        <w:spacing w:after="0" w:line="18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Italy</w:t>
      </w:r>
    </w:p>
    <w:p>
      <w:pPr>
        <w:spacing w:after="0" w:line="266" w:lineRule="exact"/>
        <w:rPr>
          <w:sz w:val="20"/>
          <w:szCs w:val="20"/>
          <w:color w:val="auto"/>
        </w:rPr>
      </w:pPr>
    </w:p>
    <w:p>
      <w:pPr>
        <w:jc w:val="both"/>
        <w:ind w:left="520" w:hanging="509"/>
        <w:spacing w:after="0" w:line="356" w:lineRule="auto"/>
        <w:tabs>
          <w:tab w:leader="none" w:pos="5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By accepting the PSUs, the Participant acknowledges that he or she has received a copy</w:t>
      </w:r>
      <w:r>
        <w:rPr>
          <w:rFonts w:ascii="Arial" w:cs="Arial" w:eastAsia="Arial" w:hAnsi="Arial"/>
          <w:sz w:val="19"/>
          <w:szCs w:val="19"/>
          <w:u w:val="single" w:color="auto"/>
          <w:color w:val="auto"/>
        </w:rPr>
        <w:t xml:space="preserve"> </w:t>
      </w:r>
      <w:r>
        <w:rPr>
          <w:rFonts w:ascii="Arial" w:cs="Arial" w:eastAsia="Arial" w:hAnsi="Arial"/>
          <w:sz w:val="19"/>
          <w:szCs w:val="19"/>
          <w:color w:val="auto"/>
        </w:rPr>
        <w:t>of the Plan, the Award Agreement and has reviewed the Plan and the Award Agreement, including this Appendix in their entirety and fully understands and accepts all provisions of the Plan, the Award Agreement, including this Appendix.</w:t>
      </w:r>
    </w:p>
    <w:p>
      <w:pPr>
        <w:spacing w:after="0" w:line="135" w:lineRule="exact"/>
        <w:rPr>
          <w:sz w:val="20"/>
          <w:szCs w:val="20"/>
          <w:color w:val="auto"/>
        </w:rPr>
      </w:pPr>
    </w:p>
    <w:p>
      <w:pPr>
        <w:jc w:val="both"/>
        <w:ind w:left="520"/>
        <w:spacing w:after="0" w:line="326" w:lineRule="auto"/>
        <w:rPr>
          <w:sz w:val="20"/>
          <w:szCs w:val="20"/>
          <w:color w:val="auto"/>
        </w:rPr>
      </w:pPr>
      <w:r>
        <w:rPr>
          <w:rFonts w:ascii="Arial" w:cs="Arial" w:eastAsia="Arial" w:hAnsi="Arial"/>
          <w:sz w:val="19"/>
          <w:szCs w:val="19"/>
          <w:color w:val="auto"/>
        </w:rPr>
        <w:t>The Participant further acknowledges that he or she has read and specifically and expressly approves the following provisions of the Award Agreement: (i) Vesting and Settlement (ii) Forfeiture of PSUs; (iii) Non-Transferability of PSUs;</w:t>
      </w:r>
    </w:p>
    <w:p>
      <w:pPr>
        <w:ind w:left="520" w:hanging="2"/>
        <w:spacing w:after="0" w:line="302" w:lineRule="auto"/>
        <w:tabs>
          <w:tab w:leader="none" w:pos="9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Tax Obligations; (v) Dispute Resolution; (vi) Governing Law; (vi) Consent to Electronic Delivery and Participation; and (viii) Nature of Award.</w:t>
      </w:r>
    </w:p>
    <w:p>
      <w:pPr>
        <w:spacing w:after="0" w:line="119" w:lineRule="exact"/>
        <w:rPr>
          <w:sz w:val="20"/>
          <w:szCs w:val="20"/>
          <w:color w:val="auto"/>
        </w:rPr>
      </w:pPr>
    </w:p>
    <w:p>
      <w:pPr>
        <w:jc w:val="both"/>
        <w:ind w:left="520" w:hanging="509"/>
        <w:spacing w:after="0" w:line="301" w:lineRule="auto"/>
        <w:tabs>
          <w:tab w:leader="none" w:pos="5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21"/>
          <w:szCs w:val="21"/>
          <w:u w:val="single" w:color="auto"/>
          <w:color w:val="auto"/>
        </w:rPr>
        <w:t>Foreign Asset / Account Reporting</w:t>
      </w:r>
      <w:r>
        <w:rPr>
          <w:rFonts w:ascii="Arial" w:cs="Arial" w:eastAsia="Arial" w:hAnsi="Arial"/>
          <w:sz w:val="21"/>
          <w:szCs w:val="21"/>
          <w:color w:val="auto"/>
        </w:rPr>
        <w:t>. Italian residents who, at any time during the fiscal year, hold foreign financial assets</w:t>
      </w:r>
      <w:r>
        <w:rPr>
          <w:rFonts w:ascii="Arial" w:cs="Arial" w:eastAsia="Arial" w:hAnsi="Arial"/>
          <w:sz w:val="21"/>
          <w:szCs w:val="21"/>
          <w:u w:val="single" w:color="auto"/>
          <w:color w:val="auto"/>
        </w:rPr>
        <w:t xml:space="preserve"> </w:t>
      </w:r>
      <w:r>
        <w:rPr>
          <w:rFonts w:ascii="Arial" w:cs="Arial" w:eastAsia="Arial" w:hAnsi="Arial"/>
          <w:sz w:val="21"/>
          <w:szCs w:val="21"/>
          <w:color w:val="auto"/>
        </w:rPr>
        <w:t>(including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Participant should consult his or her personal tax advisor to ensure compliance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12"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Mexico</w:t>
      </w:r>
    </w:p>
    <w:p>
      <w:pPr>
        <w:spacing w:after="0" w:line="266" w:lineRule="exact"/>
        <w:rPr>
          <w:sz w:val="20"/>
          <w:szCs w:val="20"/>
          <w:color w:val="auto"/>
        </w:rPr>
      </w:pPr>
    </w:p>
    <w:p>
      <w:pPr>
        <w:jc w:val="both"/>
        <w:ind w:left="520" w:hanging="509"/>
        <w:spacing w:after="0" w:line="300" w:lineRule="auto"/>
        <w:tabs>
          <w:tab w:leader="none" w:pos="5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21"/>
          <w:szCs w:val="21"/>
          <w:u w:val="single" w:color="auto"/>
          <w:color w:val="auto"/>
        </w:rPr>
        <w:t>Securities Law Notice</w:t>
      </w:r>
      <w:r>
        <w:rPr>
          <w:rFonts w:ascii="Arial" w:cs="Arial" w:eastAsia="Arial" w:hAnsi="Arial"/>
          <w:sz w:val="21"/>
          <w:szCs w:val="21"/>
          <w:color w:val="auto"/>
        </w:rPr>
        <w:t>. The Shares underlying your Award have not been registered with the National Register of Securities</w:t>
      </w:r>
      <w:r>
        <w:rPr>
          <w:rFonts w:ascii="Arial" w:cs="Arial" w:eastAsia="Arial" w:hAnsi="Arial"/>
          <w:sz w:val="21"/>
          <w:szCs w:val="21"/>
          <w:u w:val="single" w:color="auto"/>
          <w:color w:val="auto"/>
        </w:rPr>
        <w:t xml:space="preserve"> </w:t>
      </w:r>
      <w:r>
        <w:rPr>
          <w:rFonts w:ascii="Arial" w:cs="Arial" w:eastAsia="Arial" w:hAnsi="Arial"/>
          <w:sz w:val="21"/>
          <w:szCs w:val="21"/>
          <w:color w:val="auto"/>
        </w:rPr>
        <w:t>maintained by the Mexican Banking and Securities Commission and may not be offered or sold publicly in Mexico. The Plan documents may not be publicly distributed in Mexico. These materials are addressed to you only because of your existing labor relationship with a Mexican GXO subsidiary and may not be reproduced or copied in any form. The offer contained in these materials is addressed solely to the present employees of a Mexican GXO subsidiary and any rights under the Plan may not be assigned or transferred. The Shares underlying your Award will be offered pursuant to a private placement exception under the Mexican Securities Law.</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9"/>
          <w:szCs w:val="19"/>
          <w:u w:val="single" w:color="auto"/>
          <w:color w:val="auto"/>
        </w:rPr>
        <w:t>Plan Document Acknowledgement</w:t>
      </w:r>
    </w:p>
    <w:p>
      <w:pPr>
        <w:spacing w:after="0" w:line="241" w:lineRule="exact"/>
        <w:rPr>
          <w:sz w:val="20"/>
          <w:szCs w:val="20"/>
          <w:color w:val="auto"/>
        </w:rPr>
      </w:pPr>
    </w:p>
    <w:p>
      <w:pPr>
        <w:jc w:val="both"/>
        <w:ind w:left="520"/>
        <w:spacing w:after="0" w:line="303" w:lineRule="auto"/>
        <w:rPr>
          <w:sz w:val="20"/>
          <w:szCs w:val="20"/>
          <w:color w:val="auto"/>
        </w:rPr>
      </w:pPr>
      <w:r>
        <w:rPr>
          <w:rFonts w:ascii="Arial" w:cs="Arial" w:eastAsia="Arial" w:hAnsi="Arial"/>
          <w:sz w:val="21"/>
          <w:szCs w:val="21"/>
          <w:color w:val="auto"/>
        </w:rPr>
        <w:t>By accepting the PSUs, the Participant acknowledges that he or she has received a copy of the Plan, and the Award Agreement, including this Appendix, which the Participant has reviewed. The Participant acknowledges further that he or she accepts all the provisions of the Plan and the Award Agreement, including this Appendix. The Participant also acknowledges that he or she has read and specifically and expressly approves the terms and conditions set forth in the "Nature of Award" Section of the Award Agreement, which clearly provides as follows:</w:t>
      </w:r>
    </w:p>
    <w:p>
      <w:pPr>
        <w:spacing w:after="0" w:line="109" w:lineRule="exact"/>
        <w:rPr>
          <w:sz w:val="20"/>
          <w:szCs w:val="20"/>
          <w:color w:val="auto"/>
        </w:rPr>
      </w:pPr>
    </w:p>
    <w:p>
      <w:pPr>
        <w:ind w:left="980" w:hanging="462"/>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Participant’s participation in the Plan does not constitute an acquired right;</w:t>
      </w:r>
    </w:p>
    <w:p>
      <w:pPr>
        <w:spacing w:after="0" w:line="179" w:lineRule="exact"/>
        <w:rPr>
          <w:rFonts w:ascii="Arial" w:cs="Arial" w:eastAsia="Arial" w:hAnsi="Arial"/>
          <w:sz w:val="22"/>
          <w:szCs w:val="22"/>
          <w:color w:val="auto"/>
        </w:rPr>
      </w:pPr>
    </w:p>
    <w:p>
      <w:pPr>
        <w:ind w:left="980" w:hanging="462"/>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Plan and Participant’s participation in it are offered by the Company on a wholly discretionary basis;</w:t>
      </w:r>
    </w:p>
    <w:p>
      <w:pPr>
        <w:spacing w:after="0" w:line="192" w:lineRule="exact"/>
        <w:rPr>
          <w:rFonts w:ascii="Arial" w:cs="Arial" w:eastAsia="Arial" w:hAnsi="Arial"/>
          <w:sz w:val="22"/>
          <w:szCs w:val="22"/>
          <w:color w:val="auto"/>
        </w:rPr>
      </w:pPr>
    </w:p>
    <w:p>
      <w:pPr>
        <w:ind w:left="980" w:hanging="462"/>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Participant’s participation in the Plan is voluntary; and</w:t>
      </w:r>
    </w:p>
    <w:p>
      <w:pPr>
        <w:spacing w:after="0" w:line="192" w:lineRule="exact"/>
        <w:rPr>
          <w:rFonts w:ascii="Arial" w:cs="Arial" w:eastAsia="Arial" w:hAnsi="Arial"/>
          <w:sz w:val="22"/>
          <w:szCs w:val="22"/>
          <w:color w:val="auto"/>
        </w:rPr>
      </w:pPr>
    </w:p>
    <w:p>
      <w:pPr>
        <w:ind w:left="520" w:hanging="2"/>
        <w:spacing w:after="0" w:line="302" w:lineRule="auto"/>
        <w:tabs>
          <w:tab w:leader="none" w:pos="1094"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and its Subsidiaries and Affiliates are not responsible for any decrease in the value of any Shares acquired at vesting and settlement of the PSUs.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22"/>
          <w:szCs w:val="22"/>
          <w:i w:val="1"/>
          <w:iCs w:val="1"/>
          <w:u w:val="single" w:color="auto"/>
          <w:color w:val="auto"/>
        </w:rPr>
        <w:t>Reconocimiento del Documento del Plan</w:t>
      </w:r>
    </w:p>
    <w:p>
      <w:pPr>
        <w:spacing w:after="0" w:line="193"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i w:val="1"/>
          <w:iCs w:val="1"/>
          <w:color w:val="auto"/>
        </w:rPr>
        <w:t>Al aceptar las Unidades de Acciones Restringidas (PSUs, por sus siglas en inglés), el Participante reconoce que ha recibido una copia del Plan el Acuerdo, con inclusión de este Anexo, que el Participante ha revisado. El Participante reconoce, además, que acepta todas las disposiciones del Plan y en el Acuerdo, incluyendo este Anexo. El Participante también reconoce que ha leído y que concretamente aprueba de forma expresa los términos y condiciones establecidos en la Sección “Naturaleza de la Subvención” del Acuerdo, que claramente dispone lo siguiente:</w:t>
      </w:r>
    </w:p>
    <w:p>
      <w:pPr>
        <w:spacing w:after="0" w:line="81" w:lineRule="exact"/>
        <w:rPr>
          <w:sz w:val="20"/>
          <w:szCs w:val="20"/>
          <w:color w:val="auto"/>
        </w:rPr>
      </w:pPr>
    </w:p>
    <w:p>
      <w:pPr>
        <w:ind w:left="980" w:hanging="462"/>
        <w:spacing w:after="0"/>
        <w:tabs>
          <w:tab w:leader="none" w:pos="980" w:val="left"/>
        </w:tabs>
        <w:numPr>
          <w:ilvl w:val="0"/>
          <w:numId w:val="69"/>
        </w:numPr>
        <w:rPr>
          <w:rFonts w:ascii="Arial" w:cs="Arial" w:eastAsia="Arial" w:hAnsi="Arial"/>
          <w:sz w:val="22"/>
          <w:szCs w:val="22"/>
          <w:i w:val="1"/>
          <w:iCs w:val="1"/>
          <w:color w:val="auto"/>
        </w:rPr>
      </w:pPr>
      <w:r>
        <w:rPr>
          <w:rFonts w:ascii="Arial" w:cs="Arial" w:eastAsia="Arial" w:hAnsi="Arial"/>
          <w:sz w:val="22"/>
          <w:szCs w:val="22"/>
          <w:i w:val="1"/>
          <w:iCs w:val="1"/>
          <w:color w:val="auto"/>
        </w:rPr>
        <w:t>La participación del Participante en el Plan no constituye un derecho adquirido;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50" w:lineRule="exact"/>
        <w:rPr>
          <w:sz w:val="20"/>
          <w:szCs w:val="20"/>
          <w:color w:val="auto"/>
        </w:rPr>
      </w:pPr>
    </w:p>
    <w:p>
      <w:pPr>
        <w:ind w:left="980" w:hanging="462"/>
        <w:spacing w:after="0"/>
        <w:tabs>
          <w:tab w:leader="none" w:pos="980" w:val="left"/>
        </w:tabs>
        <w:numPr>
          <w:ilvl w:val="0"/>
          <w:numId w:val="70"/>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Participante en el Plan se ofrecen por la Compañía en su discrecionalidad total;</w:t>
      </w:r>
    </w:p>
    <w:p>
      <w:pPr>
        <w:spacing w:after="0" w:line="190" w:lineRule="exact"/>
        <w:rPr>
          <w:rFonts w:ascii="Arial" w:cs="Arial" w:eastAsia="Arial" w:hAnsi="Arial"/>
          <w:sz w:val="21"/>
          <w:szCs w:val="21"/>
          <w:i w:val="1"/>
          <w:iCs w:val="1"/>
          <w:color w:val="auto"/>
        </w:rPr>
      </w:pPr>
    </w:p>
    <w:p>
      <w:pPr>
        <w:ind w:left="980" w:hanging="462"/>
        <w:spacing w:after="0"/>
        <w:tabs>
          <w:tab w:leader="none" w:pos="980" w:val="left"/>
        </w:tabs>
        <w:numPr>
          <w:ilvl w:val="0"/>
          <w:numId w:val="70"/>
        </w:numPr>
        <w:rPr>
          <w:rFonts w:ascii="Arial" w:cs="Arial" w:eastAsia="Arial" w:hAnsi="Arial"/>
          <w:sz w:val="22"/>
          <w:szCs w:val="22"/>
          <w:i w:val="1"/>
          <w:iCs w:val="1"/>
          <w:color w:val="auto"/>
        </w:rPr>
      </w:pPr>
      <w:r>
        <w:rPr>
          <w:rFonts w:ascii="Arial" w:cs="Arial" w:eastAsia="Arial" w:hAnsi="Arial"/>
          <w:sz w:val="22"/>
          <w:szCs w:val="22"/>
          <w:i w:val="1"/>
          <w:iCs w:val="1"/>
          <w:color w:val="auto"/>
        </w:rPr>
        <w:t>Que la participación del Participante en el Plan es voluntaria; y</w:t>
      </w:r>
    </w:p>
    <w:p>
      <w:pPr>
        <w:spacing w:after="0" w:line="192" w:lineRule="exact"/>
        <w:rPr>
          <w:rFonts w:ascii="Arial" w:cs="Arial" w:eastAsia="Arial" w:hAnsi="Arial"/>
          <w:sz w:val="22"/>
          <w:szCs w:val="22"/>
          <w:i w:val="1"/>
          <w:iCs w:val="1"/>
          <w:color w:val="auto"/>
        </w:rPr>
      </w:pPr>
    </w:p>
    <w:p>
      <w:pPr>
        <w:ind w:left="520" w:hanging="2"/>
        <w:spacing w:after="0" w:line="302" w:lineRule="auto"/>
        <w:tabs>
          <w:tab w:leader="none" w:pos="1022" w:val="left"/>
        </w:tabs>
        <w:numPr>
          <w:ilvl w:val="0"/>
          <w:numId w:val="70"/>
        </w:numPr>
        <w:rPr>
          <w:rFonts w:ascii="Arial" w:cs="Arial" w:eastAsia="Arial" w:hAnsi="Arial"/>
          <w:sz w:val="22"/>
          <w:szCs w:val="22"/>
          <w:i w:val="1"/>
          <w:iCs w:val="1"/>
          <w:color w:val="auto"/>
        </w:rPr>
      </w:pPr>
      <w:r>
        <w:rPr>
          <w:rFonts w:ascii="Arial" w:cs="Arial" w:eastAsia="Arial" w:hAnsi="Arial"/>
          <w:sz w:val="22"/>
          <w:szCs w:val="22"/>
          <w:i w:val="1"/>
          <w:iCs w:val="1"/>
          <w:color w:val="auto"/>
        </w:rPr>
        <w:t>La Compañía y sus Subsidiarias y Afiliadas no son responsables de ninguna disminución en el valor de las acciones adquiridas al conferir las PSUs.</w:t>
      </w:r>
    </w:p>
    <w:p>
      <w:pPr>
        <w:spacing w:after="0" w:line="10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9"/>
          <w:szCs w:val="19"/>
          <w:u w:val="single" w:color="auto"/>
          <w:color w:val="auto"/>
        </w:rPr>
        <w:t>Labor Law Policy and Acknowledgment</w:t>
      </w:r>
    </w:p>
    <w:p>
      <w:pPr>
        <w:spacing w:after="0" w:line="214" w:lineRule="exact"/>
        <w:rPr>
          <w:sz w:val="20"/>
          <w:szCs w:val="20"/>
          <w:color w:val="auto"/>
        </w:rPr>
      </w:pPr>
    </w:p>
    <w:p>
      <w:pPr>
        <w:jc w:val="both"/>
        <w:ind w:left="520"/>
        <w:spacing w:after="0" w:line="333" w:lineRule="auto"/>
        <w:rPr>
          <w:sz w:val="20"/>
          <w:szCs w:val="20"/>
          <w:color w:val="auto"/>
        </w:rPr>
      </w:pPr>
      <w:r>
        <w:rPr>
          <w:rFonts w:ascii="Arial" w:cs="Arial" w:eastAsia="Arial" w:hAnsi="Arial"/>
          <w:sz w:val="19"/>
          <w:szCs w:val="19"/>
          <w:color w:val="auto"/>
        </w:rPr>
        <w:t>By accepting the PSUs, the Participant expressly recognizes that the Company, with registered offices at Two American Lane, Greenwich, Connecticut 06831, U.S.A., is solely responsible for the administration of the Plan and that the Participant’s participation in the Plan and acquisition of Shares do not constitute an employment relationship between the Participant and the Company since the Participant is participating in the Plan on a wholly commercial basis and his or her sole employer is an Affiliate of the Company in Mexico (“GXO Mexico”). Based on the foregoing, the Participant expressly recognizes that the Plan and the benefits that he or she may derive from participating in the Plan do not establish any rights between the Participant and the employer, GXO Mexico, and do not form part of the employment conditions and/or benefits provided by GXO Mexico, and any modification of the Plan or its termination shall not constitute a change or impairment of the terms and conditions of the Participant’s employment.</w:t>
      </w:r>
    </w:p>
    <w:p>
      <w:pPr>
        <w:spacing w:after="0" w:line="93"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The Participant further understands that his or her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19"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Finally, the Participant hereby declares that he or she does not reserve to him- or herself any action or right to bring any claim against the Company for any compensation or damages regarding any provision of the Plan or the benefits derived under the Plan, and the Participant therefore grants a full and broad release to the Company, and its subsidiaries, branches, representative offices, shareholders, directors, officers, employees, agents, or legal representatives with respect to any claim that may arise.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Política Laboral y Reconocimiento</w:t>
      </w:r>
    </w:p>
    <w:p>
      <w:pPr>
        <w:spacing w:after="0" w:line="193" w:lineRule="exact"/>
        <w:rPr>
          <w:sz w:val="20"/>
          <w:szCs w:val="20"/>
          <w:color w:val="auto"/>
        </w:rPr>
      </w:pPr>
    </w:p>
    <w:p>
      <w:pPr>
        <w:jc w:val="both"/>
        <w:ind w:left="520"/>
        <w:spacing w:after="0" w:line="306" w:lineRule="auto"/>
        <w:rPr>
          <w:sz w:val="20"/>
          <w:szCs w:val="20"/>
          <w:color w:val="auto"/>
        </w:rPr>
      </w:pPr>
      <w:r>
        <w:rPr>
          <w:rFonts w:ascii="Arial" w:cs="Arial" w:eastAsia="Arial" w:hAnsi="Arial"/>
          <w:sz w:val="21"/>
          <w:szCs w:val="21"/>
          <w:i w:val="1"/>
          <w:iCs w:val="1"/>
          <w:color w:val="auto"/>
        </w:rPr>
        <w:t>Al aceptar las PSUs, el Participante expresamente reconoce que la Compañía, con sus oficinas registradas y ubicadas en Two American Lane, Greenwich, Connecticut 06831, U.S.A.., es la única responsable por la administración del Plan y que la participación del Participante en el Plan y en su caso la adquisición de Acciones no constituyen una relación de trabajo entre el Participante y la Compañía, ya que el Participante participa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50" w:lineRule="exact"/>
        <w:rPr>
          <w:sz w:val="20"/>
          <w:szCs w:val="20"/>
          <w:color w:val="auto"/>
        </w:rPr>
      </w:pPr>
    </w:p>
    <w:p>
      <w:pPr>
        <w:jc w:val="both"/>
        <w:ind w:left="520"/>
        <w:spacing w:after="0" w:line="341" w:lineRule="auto"/>
        <w:rPr>
          <w:sz w:val="20"/>
          <w:szCs w:val="20"/>
          <w:color w:val="auto"/>
        </w:rPr>
      </w:pPr>
      <w:r>
        <w:rPr>
          <w:rFonts w:ascii="Arial" w:cs="Arial" w:eastAsia="Arial" w:hAnsi="Arial"/>
          <w:sz w:val="19"/>
          <w:szCs w:val="19"/>
          <w:i w:val="1"/>
          <w:iCs w:val="1"/>
          <w:color w:val="auto"/>
        </w:rPr>
        <w:t>en el Plan en un marco totalmente comercial y su único patrón es una Afiliada de la Compañía (“GXO Mexico”). Derivado de lo anterior, el Participante expresamente reconoce que el Plan y los beneficios que pudieran derivar de la participación en el Plan no establecen derecho alguno entre el Participante y el patrón, GXO Mexico, y no forma parte de las condiciones de trabajo y/o las prestaciones otorgadas por GXO Mexico, y que cualquier modificación al Plan o su terminación no constituye un cambio o desmejora de los términos y condiciones de la relación de trabajo del Participante.</w:t>
      </w:r>
    </w:p>
    <w:p>
      <w:pPr>
        <w:spacing w:after="0" w:line="68" w:lineRule="exact"/>
        <w:rPr>
          <w:sz w:val="20"/>
          <w:szCs w:val="20"/>
          <w:color w:val="auto"/>
        </w:rPr>
      </w:pPr>
    </w:p>
    <w:p>
      <w:pPr>
        <w:jc w:val="both"/>
        <w:ind w:left="520"/>
        <w:spacing w:after="0" w:line="311" w:lineRule="auto"/>
        <w:rPr>
          <w:sz w:val="20"/>
          <w:szCs w:val="20"/>
          <w:color w:val="auto"/>
        </w:rPr>
      </w:pPr>
      <w:r>
        <w:rPr>
          <w:rFonts w:ascii="Arial" w:cs="Arial" w:eastAsia="Arial" w:hAnsi="Arial"/>
          <w:sz w:val="21"/>
          <w:szCs w:val="21"/>
          <w:i w:val="1"/>
          <w:iCs w:val="1"/>
          <w:color w:val="auto"/>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spacing w:after="0" w:line="101"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i w:val="1"/>
          <w:iCs w:val="1"/>
          <w:color w:val="auto"/>
        </w:rPr>
        <w:t>Finalmente, el Participante por este medio declara que no se reserva ninguna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autoridades, empleados, agentes, o representantes legales en relación con cualquier demanda que pudiera surgir.</w:t>
      </w:r>
    </w:p>
    <w:p>
      <w:pPr>
        <w:spacing w:after="0" w:line="188"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Netherlands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35" w:lineRule="exact"/>
        <w:rPr>
          <w:rFonts w:ascii="Arial" w:cs="Arial" w:eastAsia="Arial" w:hAnsi="Arial"/>
          <w:sz w:val="22"/>
          <w:szCs w:val="22"/>
          <w:b w:val="1"/>
          <w:bCs w:val="1"/>
          <w:color w:val="auto"/>
        </w:rPr>
      </w:pPr>
    </w:p>
    <w:p>
      <w:pPr>
        <w:ind w:left="500" w:hanging="492"/>
        <w:spacing w:after="0"/>
        <w:tabs>
          <w:tab w:leader="none" w:pos="5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-622935</wp:posOffset>
            </wp:positionV>
            <wp:extent cx="3857625"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857625" cy="265430"/>
                    </a:xfrm>
                    <a:prstGeom prst="rect">
                      <a:avLst/>
                    </a:prstGeom>
                    <a:noFill/>
                  </pic:spPr>
                </pic:pic>
              </a:graphicData>
            </a:graphic>
          </wp:anchor>
        </w:drawing>
      </w:r>
    </w:p>
    <w:p>
      <w:pPr>
        <w:spacing w:after="0" w:line="246" w:lineRule="exact"/>
        <w:rPr>
          <w:sz w:val="20"/>
          <w:szCs w:val="20"/>
          <w:color w:val="auto"/>
        </w:rPr>
      </w:pPr>
    </w:p>
    <w:p>
      <w:pPr>
        <w:jc w:val="both"/>
        <w:ind w:left="520" w:hanging="509"/>
        <w:spacing w:after="0" w:line="286" w:lineRule="auto"/>
        <w:tabs>
          <w:tab w:leader="none" w:pos="5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22"/>
          <w:szCs w:val="22"/>
          <w:u w:val="single" w:color="auto"/>
          <w:color w:val="auto"/>
        </w:rPr>
        <w:t>Exchange Control Notification</w:t>
      </w:r>
      <w:r>
        <w:rPr>
          <w:rFonts w:ascii="Arial" w:cs="Arial" w:eastAsia="Arial" w:hAnsi="Arial"/>
          <w:sz w:val="22"/>
          <w:szCs w:val="22"/>
          <w:color w:val="auto"/>
        </w:rPr>
        <w:t>. Polish residents holding foreign securities (e.g., Shares) and/or maintaining accounts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spacing w:after="0" w:line="194" w:lineRule="exact"/>
        <w:rPr>
          <w:sz w:val="20"/>
          <w:szCs w:val="20"/>
          <w:color w:val="auto"/>
        </w:rPr>
      </w:pPr>
    </w:p>
    <w:p>
      <w:pPr>
        <w:jc w:val="both"/>
        <w:ind w:left="520"/>
        <w:spacing w:after="0" w:line="291" w:lineRule="auto"/>
        <w:rPr>
          <w:sz w:val="20"/>
          <w:szCs w:val="20"/>
          <w:color w:val="auto"/>
        </w:rPr>
      </w:pPr>
      <w:r>
        <w:rPr>
          <w:rFonts w:ascii="Arial" w:cs="Arial" w:eastAsia="Arial" w:hAnsi="Arial"/>
          <w:sz w:val="22"/>
          <w:szCs w:val="22"/>
          <w:color w:val="auto"/>
        </w:rPr>
        <w:t>Further, if the Participant transfers funds in excess of €15,000 (or PLN15,000 if the transfer of funds is connected with the business activity of an entrepreneur), the funds must be transferred via a bank account in Poland. The Participant is required to retain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18" w:lineRule="exact"/>
        <w:rPr>
          <w:sz w:val="20"/>
          <w:szCs w:val="20"/>
          <w:color w:val="auto"/>
        </w:rPr>
      </w:pPr>
    </w:p>
    <w:p>
      <w:pPr>
        <w:ind w:left="520"/>
        <w:spacing w:after="0" w:line="302" w:lineRule="auto"/>
        <w:rPr>
          <w:sz w:val="20"/>
          <w:szCs w:val="20"/>
          <w:color w:val="auto"/>
        </w:rPr>
      </w:pPr>
      <w:r>
        <w:rPr>
          <w:rFonts w:ascii="Arial" w:cs="Arial" w:eastAsia="Arial" w:hAnsi="Arial"/>
          <w:sz w:val="22"/>
          <w:szCs w:val="22"/>
          <w:color w:val="auto"/>
        </w:rPr>
        <w:t>documents connected with a foreign exchange transaction for a period of five years, as measured from the end of the year in which such transaction occurred.</w:t>
      </w:r>
    </w:p>
    <w:p>
      <w:pPr>
        <w:spacing w:after="0" w:line="167"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Romania</w:t>
      </w:r>
    </w:p>
    <w:p>
      <w:pPr>
        <w:spacing w:after="0" w:line="266" w:lineRule="exact"/>
        <w:rPr>
          <w:sz w:val="20"/>
          <w:szCs w:val="20"/>
          <w:color w:val="auto"/>
        </w:rPr>
      </w:pPr>
    </w:p>
    <w:p>
      <w:pPr>
        <w:jc w:val="both"/>
        <w:ind w:left="500" w:hanging="509"/>
        <w:spacing w:after="0" w:line="356" w:lineRule="auto"/>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9"/>
          <w:szCs w:val="19"/>
          <w:u w:val="single" w:color="auto"/>
          <w:color w:val="auto"/>
        </w:rPr>
        <w:t>Language Consent</w:t>
      </w:r>
      <w:r>
        <w:rPr>
          <w:rFonts w:ascii="Arial" w:cs="Arial" w:eastAsia="Arial" w:hAnsi="Arial"/>
          <w:sz w:val="19"/>
          <w:szCs w:val="19"/>
          <w:color w:val="auto"/>
        </w:rPr>
        <w:t>. By accepting the PSU Award, the Participant acknowledges that he or she is proficient in reading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understanding English and fully understands the terms of the documents related to the grant (the Award Agreement and the Plan), which were provided in the English language. Participant accepts the terms of those documents accordingly.</w:t>
      </w:r>
    </w:p>
    <w:p>
      <w:pPr>
        <w:spacing w:after="0" w:line="135" w:lineRule="exact"/>
        <w:rPr>
          <w:sz w:val="20"/>
          <w:szCs w:val="20"/>
          <w:color w:val="auto"/>
        </w:rPr>
      </w:pPr>
    </w:p>
    <w:p>
      <w:pPr>
        <w:jc w:val="both"/>
        <w:ind w:left="520"/>
        <w:spacing w:after="0" w:line="288" w:lineRule="auto"/>
        <w:rPr>
          <w:sz w:val="20"/>
          <w:szCs w:val="20"/>
          <w:color w:val="auto"/>
        </w:rPr>
      </w:pPr>
      <w:r>
        <w:rPr>
          <w:rFonts w:ascii="Arial" w:cs="Arial" w:eastAsia="Arial" w:hAnsi="Arial"/>
          <w:sz w:val="22"/>
          <w:szCs w:val="22"/>
          <w:i w:val="1"/>
          <w:iCs w:val="1"/>
          <w:color w:val="auto"/>
        </w:rPr>
        <w:t>Consimtamant cu Privire la Limba. Prin acceptarea acordarii de PSU-uri, Participantul confirma ca acesta sau aceasta are un nivel adecvat de cunoastere in ce priveste cititirea si intelegerea limbii engleze, a citit si confirma ca a inteles pe deplin termenii documentelor referitoare la acordare (Acordul PSU si Planul), care au fost furnizate in limba engleza. Participantul accepta termenii acestor documente in consecinta.</w:t>
      </w:r>
    </w:p>
    <w:p>
      <w:pPr>
        <w:spacing w:after="0" w:line="190" w:lineRule="exact"/>
        <w:rPr>
          <w:sz w:val="20"/>
          <w:szCs w:val="20"/>
          <w:color w:val="auto"/>
        </w:rPr>
      </w:pPr>
    </w:p>
    <w:p>
      <w:pPr>
        <w:jc w:val="both"/>
        <w:ind w:left="500" w:hanging="509"/>
        <w:spacing w:after="0" w:line="288" w:lineRule="auto"/>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22"/>
          <w:szCs w:val="22"/>
          <w:u w:val="single" w:color="auto"/>
          <w:color w:val="auto"/>
        </w:rPr>
        <w:t>Exchange Control Notification</w:t>
      </w:r>
      <w:r>
        <w:rPr>
          <w:rFonts w:ascii="Arial" w:cs="Arial" w:eastAsia="Arial" w:hAnsi="Arial"/>
          <w:sz w:val="22"/>
          <w:szCs w:val="22"/>
          <w:color w:val="auto"/>
        </w:rPr>
        <w:t>. If the Participant deposits the proceeds from the sale of Shares acquired under this Plan in a</w:t>
      </w:r>
      <w:r>
        <w:rPr>
          <w:rFonts w:ascii="Arial" w:cs="Arial" w:eastAsia="Arial" w:hAnsi="Arial"/>
          <w:sz w:val="22"/>
          <w:szCs w:val="22"/>
          <w:u w:val="single" w:color="auto"/>
          <w:color w:val="auto"/>
        </w:rPr>
        <w:t xml:space="preserve"> </w:t>
      </w:r>
      <w:r>
        <w:rPr>
          <w:rFonts w:ascii="Arial" w:cs="Arial" w:eastAsia="Arial" w:hAnsi="Arial"/>
          <w:sz w:val="22"/>
          <w:szCs w:val="22"/>
          <w:color w:val="auto"/>
        </w:rPr>
        <w:t>bank account in Romania, the Participant may be required to provide the Romanian bank with appropriate documentation explaining the source of the funds. The Participant should consult his or her personal legal advisor to ensure compliance with applicable requirements.</w:t>
      </w:r>
    </w:p>
    <w:p>
      <w:pPr>
        <w:spacing w:after="0" w:line="184"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Russian Federation</w:t>
      </w:r>
    </w:p>
    <w:p>
      <w:pPr>
        <w:spacing w:after="0" w:line="212" w:lineRule="exact"/>
        <w:rPr>
          <w:sz w:val="20"/>
          <w:szCs w:val="20"/>
          <w:color w:val="auto"/>
        </w:rPr>
      </w:pPr>
    </w:p>
    <w:p>
      <w:pPr>
        <w:jc w:val="both"/>
        <w:ind w:left="500" w:hanging="509"/>
        <w:spacing w:after="0" w:line="288" w:lineRule="auto"/>
        <w:tabs>
          <w:tab w:leader="none" w:pos="4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22"/>
          <w:szCs w:val="22"/>
          <w:u w:val="single" w:color="auto"/>
          <w:color w:val="auto"/>
        </w:rPr>
        <w:t>Non-Russian Transaction</w:t>
      </w:r>
      <w:r>
        <w:rPr>
          <w:rFonts w:ascii="Arial" w:cs="Arial" w:eastAsia="Arial" w:hAnsi="Arial"/>
          <w:sz w:val="22"/>
          <w:szCs w:val="22"/>
          <w:color w:val="auto"/>
        </w:rPr>
        <w:t>. The Participant understands that the PSUs shall be valid and the Award Agreement shall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concluded and become effective only when the Award Agreement is received by the Company in the United States. Upon vesting of the PSUs, any Shares to be issued to the Participant shall be delivered to the Participant through a bank or brokerage account in the United States.</w:t>
      </w:r>
    </w:p>
    <w:p>
      <w:pPr>
        <w:spacing w:after="0" w:line="122" w:lineRule="exact"/>
        <w:rPr>
          <w:sz w:val="20"/>
          <w:szCs w:val="20"/>
          <w:color w:val="auto"/>
        </w:rPr>
      </w:pPr>
    </w:p>
    <w:p>
      <w:pPr>
        <w:jc w:val="both"/>
        <w:ind w:left="500" w:hanging="509"/>
        <w:spacing w:after="0" w:line="306" w:lineRule="auto"/>
        <w:tabs>
          <w:tab w:leader="none" w:pos="4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This Appendix, the Award Agreement, the Plan and all other materials that the Participant may</w:t>
      </w:r>
      <w:r>
        <w:rPr>
          <w:rFonts w:ascii="Arial" w:cs="Arial" w:eastAsia="Arial" w:hAnsi="Arial"/>
          <w:sz w:val="21"/>
          <w:szCs w:val="21"/>
          <w:u w:val="single" w:color="auto"/>
          <w:color w:val="auto"/>
        </w:rPr>
        <w:t xml:space="preserve"> </w:t>
      </w:r>
      <w:r>
        <w:rPr>
          <w:rFonts w:ascii="Arial" w:cs="Arial" w:eastAsia="Arial" w:hAnsi="Arial"/>
          <w:sz w:val="21"/>
          <w:szCs w:val="21"/>
          <w:color w:val="auto"/>
        </w:rPr>
        <w:t>receive regarding participation in the Plan do not constitute advertising or an offering of securities in Russia. The issuance of securities pursuant to the Plan has not and will not be registered in Russia; hence, the securities described in any Plan-related documents may not be used for offering or public circulation in Russia.</w:t>
      </w:r>
    </w:p>
    <w:p>
      <w:pPr>
        <w:spacing w:after="0" w:line="91" w:lineRule="exact"/>
        <w:rPr>
          <w:sz w:val="20"/>
          <w:szCs w:val="20"/>
          <w:color w:val="auto"/>
        </w:rPr>
      </w:pPr>
    </w:p>
    <w:p>
      <w:pPr>
        <w:jc w:val="both"/>
        <w:ind w:left="500" w:hanging="509"/>
        <w:spacing w:after="0" w:line="291" w:lineRule="auto"/>
        <w:tabs>
          <w:tab w:leader="none" w:pos="4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Participant understands that, under exchange control regulations in Russia, he or she</w:t>
      </w:r>
      <w:r>
        <w:rPr>
          <w:rFonts w:ascii="Arial" w:cs="Arial" w:eastAsia="Arial" w:hAnsi="Arial"/>
          <w:sz w:val="22"/>
          <w:szCs w:val="22"/>
          <w:u w:val="single" w:color="auto"/>
          <w:color w:val="auto"/>
        </w:rPr>
        <w:t xml:space="preserve"> </w:t>
      </w:r>
      <w:r>
        <w:rPr>
          <w:rFonts w:ascii="Arial" w:cs="Arial" w:eastAsia="Arial" w:hAnsi="Arial"/>
          <w:sz w:val="22"/>
          <w:szCs w:val="22"/>
          <w:color w:val="auto"/>
        </w:rPr>
        <w:t>may be required to repatriate certain funds to the Participant’s bank account in Russia prior to using those funds for any purpose,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50" w:lineRule="exact"/>
        <w:rPr>
          <w:sz w:val="20"/>
          <w:szCs w:val="20"/>
          <w:color w:val="auto"/>
        </w:rPr>
      </w:pPr>
    </w:p>
    <w:p>
      <w:pPr>
        <w:jc w:val="both"/>
        <w:ind w:left="520"/>
        <w:spacing w:after="0" w:line="286" w:lineRule="auto"/>
        <w:rPr>
          <w:sz w:val="20"/>
          <w:szCs w:val="20"/>
          <w:color w:val="auto"/>
        </w:rPr>
      </w:pPr>
      <w:r>
        <w:rPr>
          <w:rFonts w:ascii="Arial" w:cs="Arial" w:eastAsia="Arial" w:hAnsi="Arial"/>
          <w:sz w:val="22"/>
          <w:szCs w:val="22"/>
          <w:color w:val="auto"/>
        </w:rPr>
        <w:t>reinvestment. If the repatriation requirements apply, such funds must be initially credited to the Participant through a foreign currency account at an authorized bank in Russia. After the funds are initially received in Russia, they may be further remitted to foreign banks in accordance with Russian exchange control laws. The Participant should consult with his or her personal legal advisor to determine whether the repatriation or other exchange control requirements apply and to ensure compliance with such requirements.</w:t>
      </w:r>
    </w:p>
    <w:p>
      <w:pPr>
        <w:spacing w:after="0" w:line="18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Singapore</w:t>
      </w:r>
    </w:p>
    <w:p>
      <w:pPr>
        <w:spacing w:after="0" w:line="266" w:lineRule="exact"/>
        <w:rPr>
          <w:sz w:val="20"/>
          <w:szCs w:val="20"/>
          <w:color w:val="auto"/>
        </w:rPr>
      </w:pPr>
    </w:p>
    <w:p>
      <w:pPr>
        <w:jc w:val="both"/>
        <w:ind w:left="500" w:hanging="509"/>
        <w:spacing w:after="0" w:line="285" w:lineRule="auto"/>
        <w:tabs>
          <w:tab w:leader="none" w:pos="4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22"/>
          <w:szCs w:val="22"/>
          <w:u w:val="single" w:color="auto"/>
          <w:color w:val="auto"/>
        </w:rPr>
        <w:t>Sale Restriction</w:t>
      </w:r>
      <w:r>
        <w:rPr>
          <w:rFonts w:ascii="Arial" w:cs="Arial" w:eastAsia="Arial" w:hAnsi="Arial"/>
          <w:sz w:val="22"/>
          <w:szCs w:val="22"/>
          <w:color w:val="auto"/>
        </w:rPr>
        <w:t>. In the event the PSUs vest and Shares are issued to the Participant (or the Participant's heirs) within six</w:t>
      </w:r>
      <w:r>
        <w:rPr>
          <w:rFonts w:ascii="Arial" w:cs="Arial" w:eastAsia="Arial" w:hAnsi="Arial"/>
          <w:sz w:val="22"/>
          <w:szCs w:val="22"/>
          <w:u w:val="single" w:color="auto"/>
          <w:color w:val="auto"/>
        </w:rPr>
        <w:t xml:space="preserve"> </w:t>
      </w:r>
      <w:r>
        <w:rPr>
          <w:rFonts w:ascii="Arial" w:cs="Arial" w:eastAsia="Arial" w:hAnsi="Arial"/>
          <w:sz w:val="22"/>
          <w:szCs w:val="22"/>
          <w:color w:val="auto"/>
        </w:rPr>
        <w:t>months of the date of grant, the Participant (or the Participant's heirs) agrees that the Shares will not be offered to the public or otherwise disposed of prior to the six-month anniversary of the date of grant, unless such sale or offer to sell in Singapore is made pursuant to the exemptions under Part XIII Division (1) Subdivision (4) (other than section 280) of the Singapore Securities and Futures Act (Chapter 289, 2006 Ed.) (“SFA”) or pursuant to, and in accordance with the conditions of, any other applicable provisions of the SFA.</w:t>
      </w:r>
    </w:p>
    <w:p>
      <w:pPr>
        <w:spacing w:after="0" w:line="196" w:lineRule="exact"/>
        <w:rPr>
          <w:sz w:val="20"/>
          <w:szCs w:val="20"/>
          <w:color w:val="auto"/>
        </w:rPr>
      </w:pPr>
    </w:p>
    <w:p>
      <w:pPr>
        <w:jc w:val="both"/>
        <w:ind w:left="500" w:hanging="509"/>
        <w:spacing w:after="0" w:line="306" w:lineRule="auto"/>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grant of the PSUs is being made pursuant to the “Qualifying Person” exemption under</w:t>
      </w:r>
      <w:r>
        <w:rPr>
          <w:rFonts w:ascii="Arial" w:cs="Arial" w:eastAsia="Arial" w:hAnsi="Arial"/>
          <w:sz w:val="21"/>
          <w:szCs w:val="21"/>
          <w:u w:val="single" w:color="auto"/>
          <w:color w:val="auto"/>
        </w:rPr>
        <w:t xml:space="preserve"> </w:t>
      </w:r>
      <w:r>
        <w:rPr>
          <w:rFonts w:ascii="Arial" w:cs="Arial" w:eastAsia="Arial" w:hAnsi="Arial"/>
          <w:sz w:val="21"/>
          <w:szCs w:val="21"/>
          <w:color w:val="auto"/>
        </w:rPr>
        <w:t>section 273(1)(f) of the SFA under which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66"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9"/>
          <w:szCs w:val="19"/>
          <w:u w:val="single" w:color="auto"/>
          <w:color w:val="auto"/>
        </w:rPr>
        <w:t>Tax Obligations</w:t>
      </w:r>
      <w:r>
        <w:rPr>
          <w:rFonts w:ascii="Arial" w:cs="Arial" w:eastAsia="Arial" w:hAnsi="Arial"/>
          <w:sz w:val="19"/>
          <w:szCs w:val="19"/>
          <w:color w:val="auto"/>
        </w:rPr>
        <w:t>. The following provision supplements Section 7 (“Tax Obligations”) of the Award Agreement:</w:t>
      </w:r>
    </w:p>
    <w:p>
      <w:pPr>
        <w:spacing w:after="0" w:line="214" w:lineRule="exact"/>
        <w:rPr>
          <w:sz w:val="20"/>
          <w:szCs w:val="20"/>
          <w:color w:val="auto"/>
        </w:rPr>
      </w:pPr>
    </w:p>
    <w:p>
      <w:pPr>
        <w:jc w:val="both"/>
        <w:ind w:left="520"/>
        <w:spacing w:after="0" w:line="285" w:lineRule="auto"/>
        <w:rPr>
          <w:sz w:val="20"/>
          <w:szCs w:val="20"/>
          <w:color w:val="auto"/>
        </w:rPr>
      </w:pPr>
      <w:r>
        <w:rPr>
          <w:rFonts w:ascii="Arial" w:cs="Arial" w:eastAsia="Arial" w:hAnsi="Arial"/>
          <w:sz w:val="22"/>
          <w:szCs w:val="22"/>
          <w:color w:val="auto"/>
        </w:rPr>
        <w:t>The Participant agrees to indemnify the Company and/or the Employer for all Tax-Related Items that they are required to pay or withhold or have paid or will pay to Her Majesty’s Revenue &amp; Customs (“HMRC”) (or any other tax authority or any other relevant authority) on the Participant’s behalf and authorizes the Company and/or the Employer to recover such amounts by any of the means set out in Section 7 of the Award Agreement. The Participant also agrees to be liable for any Tax-Related Items related to the PSUs and legally applicable to him or her, and hereby covenants to pay any such Tax-Related items as and when requested by the Company, the Employer or by HMRC (or any other tax authority or any other relevant authority).</w:t>
      </w:r>
    </w:p>
    <w:p>
      <w:pPr>
        <w:spacing w:after="0" w:line="125" w:lineRule="exact"/>
        <w:rPr>
          <w:sz w:val="20"/>
          <w:szCs w:val="20"/>
          <w:color w:val="auto"/>
        </w:rPr>
      </w:pPr>
    </w:p>
    <w:p>
      <w:pPr>
        <w:jc w:val="both"/>
        <w:ind w:left="520"/>
        <w:spacing w:after="0" w:line="302" w:lineRule="auto"/>
        <w:rPr>
          <w:sz w:val="20"/>
          <w:szCs w:val="20"/>
          <w:color w:val="auto"/>
        </w:rPr>
      </w:pPr>
      <w:r>
        <w:rPr>
          <w:rFonts w:ascii="Arial" w:cs="Arial" w:eastAsia="Arial" w:hAnsi="Arial"/>
          <w:sz w:val="22"/>
          <w:szCs w:val="22"/>
          <w:color w:val="auto"/>
        </w:rPr>
        <w:t>Notwithstanding the foregoing, if the Participant is an executive officer or director (as within the meaning of Section 13(k) of the Exchange Act), the terms of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foregoing provision will not apply. In the event that the Participant is an executive officer or director and the income tax is not collected from or paid by the Participant within ninety (90) days of the end of the U.K. tax year in which an event giving rise to the indemnification described above occurs, the amount of any uncollected income tax may constitute a benefit to the Participant on which additional income tax and national insurance contributions may be payable. The Participant acknowledges that he or she will be responsible for reporting and paying any income tax due on this additional benefit directly to the HMRC under the self-assessment regime and for paying the Company or the Employer, as applicable, for the value of any employee national insurance contributions due on this additional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84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Malcolm Wilson, certify that:</w:t>
      </w:r>
    </w:p>
    <w:p>
      <w:pPr>
        <w:spacing w:after="0" w:line="140" w:lineRule="exact"/>
        <w:rPr>
          <w:sz w:val="20"/>
          <w:szCs w:val="20"/>
          <w:color w:val="auto"/>
        </w:rPr>
      </w:pPr>
    </w:p>
    <w:p>
      <w:pPr>
        <w:ind w:left="420" w:hanging="169"/>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2022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Malcolm Wilson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5, 2022</w:t>
      </w:r>
    </w:p>
    <w:p>
      <w:pPr>
        <w:sectPr>
          <w:pgSz w:w="11900" w:h="16838" w:orient="portrait"/>
          <w:cols w:equalWidth="0" w:num="1">
            <w:col w:w="11240"/>
          </w:cols>
          <w:pgMar w:left="320" w:top="143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Baris Oran, certify that:</w:t>
      </w:r>
    </w:p>
    <w:p>
      <w:pPr>
        <w:spacing w:after="0" w:line="140" w:lineRule="exact"/>
        <w:rPr>
          <w:sz w:val="20"/>
          <w:szCs w:val="20"/>
          <w:color w:val="auto"/>
        </w:rPr>
      </w:pPr>
    </w:p>
    <w:p>
      <w:pPr>
        <w:ind w:left="420" w:hanging="169"/>
        <w:spacing w:after="0"/>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2022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Baris Oran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5, 2022</w:t>
      </w:r>
    </w:p>
    <w:p>
      <w:pPr>
        <w:sectPr>
          <w:pgSz w:w="11900" w:h="16838" w:orient="portrait"/>
          <w:cols w:equalWidth="0" w:num="1">
            <w:col w:w="11240"/>
          </w:cols>
          <w:pgMar w:left="320" w:top="143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10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March 31,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2022</w:t>
      </w:r>
    </w:p>
    <w:p>
      <w:pPr>
        <w:sectPr>
          <w:pgSz w:w="11900" w:h="16838" w:orient="portrait"/>
          <w:cols w:equalWidth="0" w:num="1">
            <w:col w:w="11240"/>
          </w:cols>
          <w:pgMar w:left="320" w:top="143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10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March 31,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2022</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lowerLetter"/>
      <w:start w:val="2"/>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lowerRoman"/>
      <w:start w:val="3"/>
    </w:lvl>
  </w:abstractNum>
  <w:abstractNum w:abstractNumId="11">
    <w:nsid w:val="2CD89A32"/>
    <w:multiLevelType w:val="hybridMultilevel"/>
    <w:lvl w:ilvl="0">
      <w:lvlJc w:val="left"/>
      <w:lvlText w:val="(%1)"/>
      <w:numFmt w:val="lowerLetter"/>
      <w:start w:val="1"/>
    </w:lvl>
  </w:abstractNum>
  <w:abstractNum w:abstractNumId="12">
    <w:nsid w:val="57E4CCAF"/>
    <w:multiLevelType w:val="hybridMultilevel"/>
    <w:lvl w:ilvl="0">
      <w:lvlJc w:val="left"/>
      <w:lvlText w:val="(%1)"/>
      <w:numFmt w:val="lowerLetter"/>
      <w:start w:val="2"/>
    </w:lvl>
    <w:lvl w:ilvl="1">
      <w:lvlJc w:val="left"/>
      <w:lvlText w:val="(%2)"/>
      <w:numFmt w:val="lowerRoman"/>
      <w:start w:val="1"/>
    </w:lvl>
  </w:abstractNum>
  <w:abstractNum w:abstractNumId="13">
    <w:nsid w:val="7A6D8D3C"/>
    <w:multiLevelType w:val="hybridMultilevel"/>
    <w:lvl w:ilvl="0">
      <w:lvlJc w:val="left"/>
      <w:lvlText w:val="(%1)"/>
      <w:numFmt w:val="lowerLetter"/>
      <w:start w:val="1"/>
    </w:lvl>
    <w:lvl w:ilvl="1">
      <w:lvlJc w:val="left"/>
      <w:lvlText w:val="(%2)"/>
      <w:numFmt w:val="lowerRoman"/>
      <w:start w:val="1"/>
    </w:lvl>
  </w:abstractNum>
  <w:abstractNum w:abstractNumId="14">
    <w:nsid w:val="4B588F54"/>
    <w:multiLevelType w:val="hybridMultilevel"/>
    <w:lvl w:ilvl="0">
      <w:lvlJc w:val="left"/>
      <w:lvlText w:val="%1"/>
      <w:numFmt w:val="lowerLetter"/>
      <w:start w:val="1"/>
    </w:lvl>
    <w:lvl w:ilvl="1">
      <w:lvlJc w:val="left"/>
      <w:lvlText w:val="(%2)"/>
      <w:numFmt w:val="lowerRoman"/>
      <w:start w:val="3"/>
    </w:lvl>
  </w:abstractNum>
  <w:abstractNum w:abstractNumId="15">
    <w:nsid w:val="542289EC"/>
    <w:multiLevelType w:val="hybridMultilevel"/>
    <w:lvl w:ilvl="0">
      <w:lvlJc w:val="left"/>
      <w:lvlText w:val="(%1)"/>
      <w:numFmt w:val="lowerLetter"/>
      <w:start w:val="3"/>
    </w:lvl>
    <w:lvl w:ilvl="1">
      <w:lvlJc w:val="left"/>
      <w:lvlText w:val="%2"/>
      <w:numFmt w:val="lowerRoman"/>
      <w:start w:val="1"/>
    </w:lvl>
  </w:abstractNum>
  <w:abstractNum w:abstractNumId="16">
    <w:nsid w:val="6DE91B18"/>
    <w:multiLevelType w:val="hybridMultilevel"/>
    <w:lvl w:ilvl="0">
      <w:lvlJc w:val="left"/>
      <w:lvlText w:val="(%1)"/>
      <w:numFmt w:val="decimal"/>
      <w:start w:val="6"/>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5"/>
    </w:lvl>
  </w:abstractNum>
  <w:abstractNum w:abstractNumId="21">
    <w:nsid w:val="579478FE"/>
    <w:multiLevelType w:val="hybridMultilevel"/>
    <w:lvl w:ilvl="0">
      <w:lvlJc w:val="left"/>
      <w:lvlText w:val="%1."/>
      <w:numFmt w:val="decimal"/>
      <w:start w:val="7"/>
    </w:lvl>
  </w:abstractNum>
  <w:abstractNum w:abstractNumId="22">
    <w:nsid w:val="749ABB43"/>
    <w:multiLevelType w:val="hybridMultilevel"/>
    <w:lvl w:ilvl="0">
      <w:lvlJc w:val="left"/>
      <w:lvlText w:val="%1."/>
      <w:numFmt w:val="upperLetter"/>
      <w:start w:val="2"/>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2"/>
    </w:lvl>
  </w:abstractNum>
  <w:abstractNum w:abstractNumId="25">
    <w:nsid w:val="79A1DEAA"/>
    <w:multiLevelType w:val="hybridMultilevel"/>
    <w:lvl w:ilvl="0">
      <w:lvlJc w:val="left"/>
      <w:lvlText w:val="%1"/>
      <w:numFmt w:val="lowerRoman"/>
      <w:start w:val="1"/>
    </w:lvl>
    <w:lvl w:ilvl="1">
      <w:lvlJc w:val="left"/>
      <w:lvlText w:val="(%2)"/>
      <w:numFmt w:val="lowerRoman"/>
      <w:start w:val="1"/>
    </w:lvl>
  </w:abstractNum>
  <w:abstractNum w:abstractNumId="26">
    <w:nsid w:val="75C6C33A"/>
    <w:multiLevelType w:val="hybridMultilevel"/>
    <w:lvl w:ilvl="0">
      <w:lvlJc w:val="left"/>
      <w:lvlText w:val="(%1)"/>
      <w:numFmt w:val="lowerRoman"/>
      <w:start w:val="3"/>
    </w:lvl>
    <w:lvl w:ilvl="1">
      <w:lvlJc w:val="left"/>
      <w:lvlText w:val="%2"/>
      <w:numFmt w:val="lowerRoman"/>
      <w:start w:val="1"/>
    </w:lvl>
  </w:abstractNum>
  <w:abstractNum w:abstractNumId="27">
    <w:nsid w:val="12E685FB"/>
    <w:multiLevelType w:val="hybridMultilevel"/>
    <w:lvl w:ilvl="0">
      <w:lvlJc w:val="left"/>
      <w:lvlText w:val="%1."/>
      <w:numFmt w:val="decimal"/>
      <w:start w:val="3"/>
    </w:lvl>
  </w:abstractNum>
  <w:abstractNum w:abstractNumId="28">
    <w:nsid w:val="70C6A529"/>
    <w:multiLevelType w:val="hybridMultilevel"/>
    <w:lvl w:ilvl="0">
      <w:lvlJc w:val="left"/>
      <w:lvlText w:val="%1."/>
      <w:numFmt w:val="decimal"/>
      <w:start w:val="4"/>
    </w:lvl>
  </w:abstractNum>
  <w:abstractNum w:abstractNumId="29">
    <w:nsid w:val="520EEDD1"/>
    <w:multiLevelType w:val="hybridMultilevel"/>
    <w:lvl w:ilvl="0">
      <w:lvlJc w:val="left"/>
      <w:lvlText w:val="\endash "/>
      <w:numFmt w:val="bullet"/>
      <w:start w:val="1"/>
    </w:lvl>
  </w:abstractNum>
  <w:abstractNum w:abstractNumId="30">
    <w:nsid w:val="374A3FE6"/>
    <w:multiLevelType w:val="hybridMultilevel"/>
    <w:lvl w:ilvl="0">
      <w:lvlJc w:val="left"/>
      <w:lvlText w:val="%1."/>
      <w:numFmt w:val="decimal"/>
      <w:start w:val="5"/>
    </w:lvl>
  </w:abstractNum>
  <w:abstractNum w:abstractNumId="31">
    <w:nsid w:val="4F4EF005"/>
    <w:multiLevelType w:val="hybridMultilevel"/>
    <w:lvl w:ilvl="0">
      <w:lvlJc w:val="left"/>
      <w:lvlText w:val="%1."/>
      <w:numFmt w:val="decimal"/>
      <w:start w:val="6"/>
    </w:lvl>
  </w:abstractNum>
  <w:abstractNum w:abstractNumId="32">
    <w:nsid w:val="23F9C13C"/>
    <w:multiLevelType w:val="hybridMultilevel"/>
    <w:lvl w:ilvl="0">
      <w:lvlJc w:val="left"/>
      <w:lvlText w:val="(%1)"/>
      <w:numFmt w:val="lowerRoman"/>
      <w:start w:val="4"/>
    </w:lvl>
  </w:abstractNum>
  <w:abstractNum w:abstractNumId="33">
    <w:nsid w:val="649BB77C"/>
    <w:multiLevelType w:val="hybridMultilevel"/>
    <w:lvl w:ilvl="0">
      <w:lvlJc w:val="left"/>
      <w:lvlText w:val="%1."/>
      <w:numFmt w:val="decimal"/>
      <w:start w:val="7"/>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2"/>
    </w:lvl>
  </w:abstractNum>
  <w:abstractNum w:abstractNumId="37">
    <w:nsid w:val="180115BE"/>
    <w:multiLevelType w:val="hybridMultilevel"/>
    <w:lvl w:ilvl="0">
      <w:lvlJc w:val="left"/>
      <w:lvlText w:val="%1."/>
      <w:numFmt w:val="decimal"/>
      <w:start w:val="8"/>
    </w:lvl>
  </w:abstractNum>
  <w:abstractNum w:abstractNumId="38">
    <w:nsid w:val="235BA861"/>
    <w:multiLevelType w:val="hybridMultilevel"/>
    <w:lvl w:ilvl="0">
      <w:lvlJc w:val="left"/>
      <w:lvlText w:val="%1."/>
      <w:numFmt w:val="decimal"/>
      <w:start w:val="10"/>
    </w:lvl>
  </w:abstractNum>
  <w:abstractNum w:abstractNumId="39">
    <w:nsid w:val="47398C89"/>
    <w:multiLevelType w:val="hybridMultilevel"/>
    <w:lvl w:ilvl="0">
      <w:lvlJc w:val="left"/>
      <w:lvlText w:val="%1."/>
      <w:numFmt w:val="decimal"/>
      <w:start w:val="11"/>
    </w:lvl>
  </w:abstractNum>
  <w:abstractNum w:abstractNumId="40">
    <w:nsid w:val="354FE9F9"/>
    <w:multiLevelType w:val="hybridMultilevel"/>
    <w:lvl w:ilvl="0">
      <w:lvlJc w:val="left"/>
      <w:lvlText w:val="%1."/>
      <w:numFmt w:val="decimal"/>
      <w:start w:val="12"/>
    </w:lvl>
  </w:abstractNum>
  <w:abstractNum w:abstractNumId="41">
    <w:nsid w:val="15B5AF5C"/>
    <w:multiLevelType w:val="hybridMultilevel"/>
    <w:lvl w:ilvl="0">
      <w:lvlJc w:val="left"/>
      <w:lvlText w:val="%1."/>
      <w:numFmt w:val="decimal"/>
      <w:start w:val="13"/>
    </w:lvl>
  </w:abstractNum>
  <w:abstractNum w:abstractNumId="42">
    <w:nsid w:val="741226BB"/>
    <w:multiLevelType w:val="hybridMultilevel"/>
    <w:lvl w:ilvl="0">
      <w:lvlJc w:val="left"/>
      <w:lvlText w:val="(%1)"/>
      <w:numFmt w:val="lowerRoman"/>
      <w:start w:val="3"/>
    </w:lvl>
  </w:abstractNum>
  <w:abstractNum w:abstractNumId="43">
    <w:nsid w:val="D34B6A8"/>
    <w:multiLevelType w:val="hybridMultilevel"/>
    <w:lvl w:ilvl="0">
      <w:lvlJc w:val="left"/>
      <w:lvlText w:val="(%1)"/>
      <w:numFmt w:val="lowerLetter"/>
      <w:start w:val="1"/>
    </w:lvl>
    <w:lvl w:ilvl="1">
      <w:lvlJc w:val="left"/>
      <w:lvlText w:val="(%2)"/>
      <w:numFmt w:val="lowerRoman"/>
      <w:start w:val="1"/>
    </w:lvl>
  </w:abstractNum>
  <w:abstractNum w:abstractNumId="44">
    <w:nsid w:val="10233C99"/>
    <w:multiLevelType w:val="hybridMultilevel"/>
    <w:lvl w:ilvl="0">
      <w:lvlJc w:val="left"/>
      <w:lvlText w:val="(%1)"/>
      <w:numFmt w:val="lowerLetter"/>
      <w:start w:val="4"/>
    </w:lvl>
  </w:abstractNum>
  <w:abstractNum w:abstractNumId="45">
    <w:nsid w:val="3F6AB60F"/>
    <w:multiLevelType w:val="hybridMultilevel"/>
    <w:lvl w:ilvl="0">
      <w:lvlJc w:val="left"/>
      <w:lvlText w:val="(%1)"/>
      <w:numFmt w:val="lowerLetter"/>
      <w:start w:val="2"/>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2"/>
    </w:lvl>
    <w:lvl w:ilvl="1">
      <w:lvlJc w:val="left"/>
      <w:lvlText w:val="(%2)"/>
      <w:numFmt w:val="lowerRoman"/>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9"/>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2"/>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5"/>
    </w:lvl>
  </w:abstractNum>
  <w:abstractNum w:abstractNumId="54">
    <w:nsid w:val="1DBABF00"/>
    <w:multiLevelType w:val="hybridMultilevel"/>
    <w:lvl w:ilvl="0">
      <w:lvlJc w:val="left"/>
      <w:lvlText w:val="%1."/>
      <w:numFmt w:val="decimal"/>
      <w:start w:val="7"/>
    </w:lvl>
  </w:abstractNum>
  <w:abstractNum w:abstractNumId="55">
    <w:nsid w:val="4AD084E9"/>
    <w:multiLevelType w:val="hybridMultilevel"/>
    <w:lvl w:ilvl="0">
      <w:lvlJc w:val="left"/>
      <w:lvlText w:val="%1."/>
      <w:numFmt w:val="upperLetter"/>
      <w:start w:val="2"/>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2"/>
    </w:lvl>
  </w:abstractNum>
  <w:abstractNum w:abstractNumId="58">
    <w:nsid w:val="5DB70AE5"/>
    <w:multiLevelType w:val="hybridMultilevel"/>
    <w:lvl w:ilvl="0">
      <w:lvlJc w:val="left"/>
      <w:lvlText w:val="%1"/>
      <w:numFmt w:val="lowerRoman"/>
      <w:start w:val="1"/>
    </w:lvl>
    <w:lvl w:ilvl="1">
      <w:lvlJc w:val="left"/>
      <w:lvlText w:val="(%2)"/>
      <w:numFmt w:val="lowerRoman"/>
      <w:start w:val="1"/>
    </w:lvl>
  </w:abstractNum>
  <w:abstractNum w:abstractNumId="59">
    <w:nsid w:val="100F8FCA"/>
    <w:multiLevelType w:val="hybridMultilevel"/>
    <w:lvl w:ilvl="0">
      <w:lvlJc w:val="left"/>
      <w:lvlText w:val="(%1)"/>
      <w:numFmt w:val="lowerRoman"/>
      <w:start w:val="3"/>
    </w:lvl>
    <w:lvl w:ilvl="1">
      <w:lvlJc w:val="left"/>
      <w:lvlText w:val="%2"/>
      <w:numFmt w:val="lowerRoman"/>
      <w:start w:val="1"/>
    </w:lvl>
  </w:abstractNum>
  <w:abstractNum w:abstractNumId="60">
    <w:nsid w:val="6590700B"/>
    <w:multiLevelType w:val="hybridMultilevel"/>
    <w:lvl w:ilvl="0">
      <w:lvlJc w:val="left"/>
      <w:lvlText w:val="%1."/>
      <w:numFmt w:val="decimal"/>
      <w:start w:val="3"/>
    </w:lvl>
  </w:abstractNum>
  <w:abstractNum w:abstractNumId="61">
    <w:nsid w:val="15014ACB"/>
    <w:multiLevelType w:val="hybridMultilevel"/>
    <w:lvl w:ilvl="0">
      <w:lvlJc w:val="left"/>
      <w:lvlText w:val="%1."/>
      <w:numFmt w:val="decimal"/>
      <w:start w:val="4"/>
    </w:lvl>
  </w:abstractNum>
  <w:abstractNum w:abstractNumId="62">
    <w:nsid w:val="5F5E7FD0"/>
    <w:multiLevelType w:val="hybridMultilevel"/>
    <w:lvl w:ilvl="0">
      <w:lvlJc w:val="left"/>
      <w:lvlText w:val="\endash "/>
      <w:numFmt w:val="bullet"/>
      <w:start w:val="1"/>
    </w:lvl>
  </w:abstractNum>
  <w:abstractNum w:abstractNumId="63">
    <w:nsid w:val="98A3148"/>
    <w:multiLevelType w:val="hybridMultilevel"/>
    <w:lvl w:ilvl="0">
      <w:lvlJc w:val="left"/>
      <w:lvlText w:val="%1."/>
      <w:numFmt w:val="decimal"/>
      <w:start w:val="5"/>
    </w:lvl>
  </w:abstractNum>
  <w:abstractNum w:abstractNumId="64">
    <w:nsid w:val="799D0247"/>
    <w:multiLevelType w:val="hybridMultilevel"/>
    <w:lvl w:ilvl="0">
      <w:lvlJc w:val="left"/>
      <w:lvlText w:val="%1."/>
      <w:numFmt w:val="decimal"/>
      <w:start w:val="6"/>
    </w:lvl>
  </w:abstractNum>
  <w:abstractNum w:abstractNumId="65">
    <w:nsid w:val="6B94764"/>
    <w:multiLevelType w:val="hybridMultilevel"/>
    <w:lvl w:ilvl="0">
      <w:lvlJc w:val="left"/>
      <w:lvlText w:val="(%1)"/>
      <w:numFmt w:val="lowerRoman"/>
      <w:start w:val="4"/>
    </w:lvl>
  </w:abstractNum>
  <w:abstractNum w:abstractNumId="66">
    <w:nsid w:val="42C296BD"/>
    <w:multiLevelType w:val="hybridMultilevel"/>
    <w:lvl w:ilvl="0">
      <w:lvlJc w:val="left"/>
      <w:lvlText w:val="%1."/>
      <w:numFmt w:val="decimal"/>
      <w:start w:val="7"/>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2"/>
    </w:lvl>
  </w:abstractNum>
  <w:abstractNum w:abstractNumId="70">
    <w:nsid w:val="5DC79EA8"/>
    <w:multiLevelType w:val="hybridMultilevel"/>
    <w:lvl w:ilvl="0">
      <w:lvlJc w:val="left"/>
      <w:lvlText w:val="%1."/>
      <w:numFmt w:val="decimal"/>
      <w:start w:val="8"/>
    </w:lvl>
  </w:abstractNum>
  <w:abstractNum w:abstractNumId="71">
    <w:nsid w:val="540A471C"/>
    <w:multiLevelType w:val="hybridMultilevel"/>
    <w:lvl w:ilvl="0">
      <w:lvlJc w:val="left"/>
      <w:lvlText w:val="%1."/>
      <w:numFmt w:val="decimal"/>
      <w:start w:val="10"/>
    </w:lvl>
  </w:abstractNum>
  <w:abstractNum w:abstractNumId="72">
    <w:nsid w:val="7BD3EE7B"/>
    <w:multiLevelType w:val="hybridMultilevel"/>
    <w:lvl w:ilvl="0">
      <w:lvlJc w:val="left"/>
      <w:lvlText w:val="%1."/>
      <w:numFmt w:val="decimal"/>
      <w:start w:val="11"/>
    </w:lvl>
  </w:abstractNum>
  <w:abstractNum w:abstractNumId="73">
    <w:nsid w:val="51D9C564"/>
    <w:multiLevelType w:val="hybridMultilevel"/>
    <w:lvl w:ilvl="0">
      <w:lvlJc w:val="left"/>
      <w:lvlText w:val="%1."/>
      <w:numFmt w:val="decimal"/>
      <w:start w:val="12"/>
    </w:lvl>
  </w:abstractNum>
  <w:abstractNum w:abstractNumId="74">
    <w:nsid w:val="613EFDC5"/>
    <w:multiLevelType w:val="hybridMultilevel"/>
    <w:lvl w:ilvl="0">
      <w:lvlJc w:val="left"/>
      <w:lvlText w:val="%1."/>
      <w:numFmt w:val="decimal"/>
      <w:start w:val="13"/>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jpe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42" Type="http://schemas.openxmlformats.org/officeDocument/2006/relationships/hyperlink" Target="https://www.sec.gov/Archives/edgar/data/0001852244/000110465922028661/tm227857d1_ex2-1.htm" TargetMode="External"/><Relationship Id="rId43" Type="http://schemas.openxmlformats.org/officeDocument/2006/relationships/hyperlink" Target="https://www.sec.gov/Archives/edgar/data/0001852244/000110465922028661/tm227857d1_ex2-2.htm" TargetMode="External"/><Relationship Id="rId44" Type="http://schemas.openxmlformats.org/officeDocument/2006/relationships/hyperlink" Target="https://www.sec.gov/Archives/edgar/data/0001852244/000110465922028661/tm227857d1_ex10-01.htm" TargetMode="External"/><Relationship Id="rId45" Type="http://schemas.openxmlformats.org/officeDocument/2006/relationships/hyperlink" Target="https://www.sec.gov/Archives/edgar/data/0001852244/000110465922028661/tm227857d1_ex10-02.htm" TargetMode="External"/><Relationship Id="rId46" Type="http://schemas.openxmlformats.org/officeDocument/2006/relationships/hyperlink" Target="https://www.sec.gov/Archives/edgar/data/0001852244/000110465922036782/tm221003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2022-05-06T12:11:04Z</dcterms:created>
  <dcterms:modified xsi:type="dcterms:W3CDTF">2022-05-06T12:11:04Z</dcterms:modified>
</cp:coreProperties>
</file>