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p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pPr>
      <w:r/>
    </w:p>
    <w:p>
      <w:pPr>
        <w:pStyle w:val="TextBody"/>
        <w:bidi w:val="0"/>
        <w:spacing w:lineRule="auto" w:line="288" w:before="0" w:after="0"/>
        <w:jc w:val="cente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November 3, 2026</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center"/>
      </w:pPr>
      <w:r>
        <w:drawing>
          <wp:inline distT="0" distB="0" distL="0" distR="0">
            <wp:extent cx="9525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3810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_____________________________________________________________________________________________</w:t>
      </w:r>
    </w:p>
    <w:p>
      <w:pPr>
        <w:pStyle w:val="TextBody"/>
        <w:bidi w:val="0"/>
        <w:spacing w:before="0" w:after="0"/>
        <w:jc w:val="left"/>
      </w:pPr>
      <w:r/>
    </w:p>
    <w:tbl>
      <w:tblPr>
        <w:tblW w:w="8489" w:type="dxa"/>
        <w:jc w:val="left"/>
        <w:tblInd w:w="0" w:type="dxa"/>
        <w:tblLayout w:type="fixed"/>
        <w:tblCellMar>
          <w:top w:w="28" w:type="dxa"/>
          <w:left w:w="28" w:type="dxa"/>
          <w:bottom w:w="28" w:type="dxa"/>
          <w:right w:w="28" w:type="dxa"/>
        </w:tblCellMar>
      </w:tblPr>
      <w:tblGrid>
        <w:gridCol w:w="1195"/>
        <w:gridCol w:w="1051"/>
        <w:gridCol w:w="1054"/>
        <w:gridCol w:w="764"/>
        <w:gridCol w:w="764"/>
        <w:gridCol w:w="766"/>
        <w:gridCol w:w="847"/>
        <w:gridCol w:w="847"/>
        <w:gridCol w:w="1201"/>
      </w:tblGrid>
      <w:t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001-40470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86-2098312</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Two American Lane</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Greenwich, Connecticut</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06831</w:t>
            </w:r>
          </w:p>
        </w:tc>
      </w:tr>
      <w:tr>
        <w:tc>
          <w:tcPr>
            <w:tcW w:w="330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489" w:type="dxa"/>
            <w:gridSpan w:val="9"/>
            <w:tcBorders/>
            <w:tcMar>
              <w:top w:w="0" w:type="dxa"/>
              <w:left w:w="0" w:type="dxa"/>
              <w:bottom w:w="0" w:type="dxa"/>
              <w:right w:w="0" w:type="dxa"/>
            </w:tcMar>
            <w:vAlign w:val="center"/>
          </w:tcPr>
          <w:p>
            <w:pPr>
              <w:pStyle w:val="TableContents"/>
              <w:bidi w:val="0"/>
              <w:spacing w:lineRule="auto" w:line="288" w:before="0" w:after="2"/>
              <w:jc w:val="cente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489-1287</w:t>
            </w:r>
          </w:p>
        </w:tc>
      </w:tr>
      <w:t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48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c>
          <w:tcPr>
            <w:tcW w:w="848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p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94" w:type="dxa"/>
        <w:jc w:val="left"/>
        <w:tblInd w:w="0" w:type="dxa"/>
        <w:tblLayout w:type="fixed"/>
        <w:tblCellMar>
          <w:top w:w="28" w:type="dxa"/>
          <w:left w:w="28" w:type="dxa"/>
          <w:bottom w:w="28" w:type="dxa"/>
          <w:right w:w="28" w:type="dxa"/>
        </w:tblCellMar>
      </w:tblPr>
      <w:tblGrid>
        <w:gridCol w:w="1256"/>
        <w:gridCol w:w="1104"/>
        <w:gridCol w:w="1104"/>
        <w:gridCol w:w="502"/>
        <w:gridCol w:w="502"/>
        <w:gridCol w:w="502"/>
        <w:gridCol w:w="1120"/>
        <w:gridCol w:w="1120"/>
        <w:gridCol w:w="1584"/>
      </w:tblGrid>
      <w:tr>
        <w:tc>
          <w:tcPr>
            <w:tcW w:w="125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c>
          <w:tcPr>
            <w:tcW w:w="879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GXO</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3.750% Notes due 2030</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GXO/30</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before="0" w:after="2"/>
        <w:jc w:val="left"/>
      </w:p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before="0" w:after="2"/>
        <w:jc w:val="left"/>
      </w:p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3, 2026, GXO Logistics, Inc. (the “Company”) issued a press release announcing its results of operations for the fiscal quarter ended September 30, 2026. A copy of the press release is furnished as Exhibit 99.1 to this Current Report on Form 8-K.</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pPr>
      <w:r/>
    </w:p>
    <w:tbl>
      <w:tblPr>
        <w:tblW w:w="7782"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1941"/>
        <w:gridCol w:w="1941"/>
        <w:gridCol w:w="2762"/>
      </w:tblGrid>
      <w:t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c>
          <w:tcPr>
            <w:tcW w:w="81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Description</w:t>
            </w:r>
          </w:p>
        </w:tc>
      </w:tr>
      <w:t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pPr>
            <w:hyperlink w:anchor="gxo2026q3earningsreleaseex.htm">
              <w:r>
                <w:rPr>
                  <w:rStyle w:val="InternetLink"/>
                  <w:rFonts w:ascii="Times New Roman;serif" w:hAnsi="Times New Roman;serif"/>
                  <w:b w:val="false"/>
                  <w:color w:val="000080"/>
                  <w:sz w:val="20"/>
                  <w:u w:val="single"/>
                </w:rPr>
                <w:t xml:space="preserve">Press Release, dated </w:t>
              </w:r>
            </w:hyperlink>
            <w:hyperlink w:anchor="gxo2026q3earningsreleaseex.htm">
              <w:r>
                <w:rPr>
                  <w:rStyle w:val="InternetLink"/>
                  <w:rFonts w:ascii="Times New Roman;serif" w:hAnsi="Times New Roman;serif"/>
                  <w:b w:val="false"/>
                  <w:color w:val="000080"/>
                  <w:sz w:val="20"/>
                  <w:u w:val="single"/>
                </w:rPr>
                <w:t>November</w:t>
              </w:r>
            </w:hyperlink>
            <w:hyperlink w:anchor="gxo2026q3earningsreleaseex.htm">
              <w:r>
                <w:rPr>
                  <w:rStyle w:val="InternetLink"/>
                  <w:rFonts w:ascii="Times New Roman;serif" w:hAnsi="Times New Roman;serif"/>
                  <w:b w:val="false"/>
                  <w:color w:val="000080"/>
                  <w:sz w:val="20"/>
                  <w:u w:val="single"/>
                </w:rPr>
                <w:t xml:space="preserve"> </w:t>
              </w:r>
            </w:hyperlink>
            <w:hyperlink w:anchor="gxo2026q3earningsreleaseex.htm">
              <w:r>
                <w:rPr>
                  <w:rStyle w:val="InternetLink"/>
                  <w:rFonts w:ascii="Times New Roman;serif" w:hAnsi="Times New Roman;serif"/>
                  <w:b w:val="false"/>
                  <w:color w:val="000080"/>
                  <w:sz w:val="20"/>
                  <w:u w:val="single"/>
                </w:rPr>
                <w:t>3</w:t>
              </w:r>
            </w:hyperlink>
            <w:hyperlink w:anchor="gxo2026q3earningsreleaseex.htm">
              <w:r>
                <w:rPr>
                  <w:rStyle w:val="InternetLink"/>
                  <w:rFonts w:ascii="Times New Roman;serif" w:hAnsi="Times New Roman;serif"/>
                  <w:b w:val="false"/>
                  <w:color w:val="000080"/>
                  <w:sz w:val="20"/>
                  <w:u w:val="single"/>
                </w:rPr>
                <w:t>, 2026, issued by GXO Logistics, Inc.</w:t>
              </w:r>
            </w:hyperlink>
          </w:p>
        </w:tc>
      </w:tr>
      <w:t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before="0" w:after="2"/>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tbl>
      <w:tblPr>
        <w:tblW w:w="5959" w:type="dxa"/>
        <w:jc w:val="center"/>
        <w:tblInd w:w="0" w:type="dxa"/>
        <w:tblLayout w:type="fixed"/>
        <w:tblCellMar>
          <w:top w:w="28" w:type="dxa"/>
          <w:left w:w="28" w:type="dxa"/>
          <w:bottom w:w="28" w:type="dxa"/>
          <w:right w:w="28" w:type="dxa"/>
        </w:tblCellMar>
      </w:tblPr>
      <w:tblGrid>
        <w:gridCol w:w="797"/>
        <w:gridCol w:w="700"/>
        <w:gridCol w:w="707"/>
        <w:gridCol w:w="109"/>
        <w:gridCol w:w="109"/>
        <w:gridCol w:w="109"/>
        <w:gridCol w:w="338"/>
        <w:gridCol w:w="338"/>
        <w:gridCol w:w="338"/>
        <w:gridCol w:w="703"/>
        <w:gridCol w:w="703"/>
        <w:gridCol w:w="1008"/>
      </w:tblGrid>
      <w:t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GXO LOGISTICS, INC.</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Mark Suchinski</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Mark Suchinski</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2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jc w:val="left"/>
      </w:pPr>
      <w:r/>
    </w:p>
    <w:p>
      <w:pPr>
        <w:pStyle w:val="TextBody"/>
        <w:bidi w:val="0"/>
        <w:spacing w:before="0" w:after="0"/>
        <w:jc w:val="center"/>
      </w:pPr>
      <w:r>
        <w:drawing>
          <wp:inline distT="0" distB="0" distL="0" distR="0">
            <wp:extent cx="1028700" cy="3810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28700" cy="381000"/>
                    </a:xfrm>
                    <a:prstGeom prst="rect">
                      <a:avLst/>
                    </a:prstGeom>
                  </pic:spPr>
                </pic:pic>
              </a:graphicData>
            </a:graphic>
          </wp:inline>
        </w:drawing>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GXO Reports Third Quarter 2026 Results</w:t>
      </w:r>
    </w:p>
    <w:p>
      <w:pPr>
        <w:pStyle w:val="TextBody"/>
        <w:bidi w:val="0"/>
        <w:spacing w:before="0" w:after="0"/>
        <w:jc w:val="left"/>
      </w:pPr>
      <w:r/>
    </w:p>
    <w:p>
      <w:pPr>
        <w:pStyle w:val="TextBody"/>
        <w:bidi w:val="0"/>
        <w:spacing w:lineRule="auto" w:line="276" w:before="0" w:after="0"/>
        <w:ind w:left="0" w:right="0" w:hanging="360"/>
        <w:jc w:val="left"/>
      </w:pPr>
      <w:r>
        <w:rPr>
          <w:color w:val="000000"/>
        </w:rPr>
        <w:t>•</w:t>
      </w:r>
      <w:r>
        <w:rPr>
          <w:rFonts w:ascii="Arial;sans-serif" w:hAnsi="Arial;sans-serif"/>
          <w:b/>
          <w:color w:val="000000"/>
          <w:sz w:val="20"/>
        </w:rPr>
        <w:t>Revenue of $3.6 billion, up 5.7% year over year, with organic revenue growth of 6.4%, the highest in more than three years</w:t>
      </w:r>
    </w:p>
    <w:p>
      <w:pPr>
        <w:pStyle w:val="TextBody"/>
        <w:bidi w:val="0"/>
        <w:spacing w:lineRule="auto" w:line="288" w:before="0" w:after="0"/>
        <w:ind w:left="0" w:right="0" w:hanging="360"/>
        <w:jc w:val="left"/>
      </w:pPr>
      <w:r>
        <w:rPr>
          <w:color w:val="000000"/>
        </w:rPr>
        <w:t>•</w:t>
      </w:r>
      <w:r>
        <w:rPr>
          <w:rFonts w:ascii="Arial;sans-serif" w:hAnsi="Arial;sans-serif"/>
          <w:b/>
          <w:color w:val="000000"/>
          <w:sz w:val="20"/>
        </w:rPr>
        <w:t>$375 million of new business wins, up 34% year over year, the second consecutive quarter of growth above 30%, with approximately 40% of year-to-date wins in strategic growth verticals — aerospace &amp; defense, technology, industrial and life sciences</w:t>
      </w:r>
    </w:p>
    <w:p>
      <w:pPr>
        <w:pStyle w:val="TextBody"/>
        <w:bidi w:val="0"/>
        <w:spacing w:lineRule="auto" w:line="288" w:before="0" w:after="0"/>
        <w:ind w:left="0" w:right="0" w:hanging="360"/>
        <w:jc w:val="left"/>
      </w:pPr>
      <w:r>
        <w:rPr>
          <w:color w:val="000000"/>
        </w:rPr>
        <w:t>•</w:t>
      </w:r>
      <w:r>
        <w:rPr>
          <w:rFonts w:ascii="Arial;sans-serif" w:hAnsi="Arial;sans-serif"/>
          <w:b/>
          <w:color w:val="000000"/>
          <w:sz w:val="20"/>
        </w:rPr>
        <w:t>Year-to-date new business wins of more than $1 billion and a record sales pipeline of $3.1 billion, up more than 30% year over year</w:t>
      </w:r>
    </w:p>
    <w:p>
      <w:pPr>
        <w:pStyle w:val="TextBody"/>
        <w:bidi w:val="0"/>
        <w:spacing w:lineRule="auto" w:line="268" w:before="0" w:after="0"/>
        <w:ind w:left="0" w:right="0" w:hanging="360"/>
        <w:jc w:val="left"/>
      </w:pPr>
      <w:r>
        <w:rPr>
          <w:color w:val="000000"/>
        </w:rPr>
        <w:t>•</w:t>
      </w:r>
      <w:r>
        <w:rPr>
          <w:rFonts w:ascii="Arial;sans-serif" w:hAnsi="Arial;sans-serif"/>
          <w:b/>
          <w:color w:val="000000"/>
          <w:sz w:val="20"/>
        </w:rPr>
        <w:t>Repurchased $84 million of shares in the quarter, bringing year-to-date repurchases to $100 million</w:t>
      </w:r>
    </w:p>
    <w:p>
      <w:pPr>
        <w:pStyle w:val="TextBody"/>
        <w:bidi w:val="0"/>
        <w:spacing w:lineRule="auto" w:line="288" w:before="0" w:after="0"/>
        <w:ind w:left="0" w:right="0" w:hanging="360"/>
        <w:jc w:val="left"/>
      </w:pPr>
      <w:r>
        <w:rPr>
          <w:color w:val="000000"/>
        </w:rPr>
        <w:t>•</w:t>
      </w:r>
      <w:r>
        <w:rPr>
          <w:rFonts w:ascii="Arial;sans-serif" w:hAnsi="Arial;sans-serif"/>
          <w:b/>
          <w:color w:val="000000"/>
          <w:sz w:val="20"/>
        </w:rPr>
        <w:t>Reaffirms full-year 2026 guidance</w:t>
      </w:r>
    </w:p>
    <w:p>
      <w:pPr>
        <w:pStyle w:val="TextBody"/>
        <w:bidi w:val="0"/>
        <w:spacing w:lineRule="auto" w:line="288" w:before="0" w:after="0"/>
        <w:ind w:left="0" w:right="0" w:hanging="360"/>
        <w:jc w:val="left"/>
      </w:pPr>
      <w:r>
        <w:rPr>
          <w:color w:val="000000"/>
        </w:rPr>
        <w:t>•</w:t>
      </w:r>
      <w:r>
        <w:rPr>
          <w:rFonts w:ascii="Arial;sans-serif" w:hAnsi="Arial;sans-serif"/>
          <w:b/>
          <w:color w:val="000000"/>
          <w:sz w:val="20"/>
        </w:rPr>
        <w:t>Company to host Investor Day on November 16, 2026</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Arial;sans-serif" w:hAnsi="Arial;sans-serif"/>
          <w:b/>
          <w:color w:val="000000"/>
          <w:sz w:val="20"/>
        </w:rPr>
        <w:t>GREENWICH, Conn. — November 3, 2026</w:t>
      </w:r>
      <w:r>
        <w:rPr>
          <w:color w:val="000000"/>
        </w:rPr>
        <w:t xml:space="preserve"> — </w:t>
      </w:r>
      <w:r>
        <w:rPr>
          <w:rFonts w:ascii="Arial;sans-serif" w:hAnsi="Arial;sans-serif"/>
          <w:b w:val="false"/>
          <w:color w:val="000000"/>
          <w:sz w:val="20"/>
        </w:rPr>
        <w:t>GXO Logistics, Inc. (NYSE: GXO) today announced results for the third quarter 2026.</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Patrick Kelleher, chief executive officer of GXO, said, “The new strategy we put in motion over the past year is delivering results: In the third quarter, we generated our fastest organic growth in more than three years, increased new business wins by more than 30% for the second consecutive quarter, and expanded our sales pipeline to a record level. Across our strategic growth verticals and core markets, we are winning more business, converting opportunities more quickly and building greater visibility into future revenue. With our pipeline up more than 30% year over year and year-to-date wins already above $1 billion, nearly matching all of 2025 with a quarter still to go, we are entering 2027 from a position of strength.</w:t>
      </w:r>
    </w:p>
    <w:p>
      <w:pPr>
        <w:pStyle w:val="TextBody"/>
        <w:bidi w:val="0"/>
        <w:spacing w:before="0" w:after="0"/>
        <w:jc w:val="left"/>
      </w:p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At the same time, we are improving execution across the business, particularly in North America, and advancing the productivity initiatives that will support future margin expansion, including the rollout of a unified labor management system and the continued deployment of GXO IQ across our global footprint. We are pleased to reaffirm our full-year guidance and look forward to sharing more about our long-term strategy and growth outlook at our Investor Day on November 16 at the New York Stock Exchange.”</w:t>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p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Third Quarter 2026 Results</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20"/>
        </w:rPr>
        <w:t>Revenue increased to $3.6 billion, up 5.7% year over year, compared with $3.4 billion for the third quarter 2025. Organic revenue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grew by 6.4%.</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was $65 million, compared with $60 million for the third quarter 2025. Diluted earnings per share was $0.56, compared with $0.51 for the third quarter 2025.</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20"/>
        </w:rPr>
        <w:t>Adjusted earnings before interest, taxes, depreciation and amortization (“adjusted EBITDA</w:t>
      </w:r>
      <w:r>
        <w:rPr>
          <w:rFonts w:ascii="Arial;sans-serif" w:hAnsi="Arial;sans-serif"/>
          <w:b w:val="false"/>
          <w:color w:val="000000"/>
          <w:sz w:val="13"/>
        </w:rPr>
        <w:t>1</w:t>
      </w:r>
      <w:r>
        <w:rPr>
          <w:color w:val="000000"/>
        </w:rPr>
        <w:t>”</w:t>
      </w:r>
      <w:r>
        <w:rPr>
          <w:rFonts w:ascii="Arial;sans-serif" w:hAnsi="Arial;sans-serif"/>
          <w:b w:val="false"/>
          <w:color w:val="000000"/>
          <w:sz w:val="20"/>
        </w:rPr>
        <w:t>) was $251 million, compared with $251 million for the third quarter 2025.</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20"/>
        </w:rPr>
        <w:t>Adjusted diluted earnings per share (“adjusted diluted EPS</w:t>
      </w:r>
      <w:r>
        <w:rPr>
          <w:rFonts w:ascii="Arial;sans-serif" w:hAnsi="Arial;sans-serif"/>
          <w:b w:val="false"/>
          <w:color w:val="000000"/>
          <w:sz w:val="13"/>
        </w:rPr>
        <w:t>1</w:t>
      </w:r>
      <w:r>
        <w:rPr>
          <w:color w:val="000000"/>
        </w:rPr>
        <w:t>”</w:t>
      </w:r>
      <w:r>
        <w:rPr>
          <w:rFonts w:ascii="Arial;sans-serif" w:hAnsi="Arial;sans-serif"/>
          <w:b w:val="false"/>
          <w:color w:val="000000"/>
          <w:sz w:val="20"/>
        </w:rPr>
        <w:t>) increased to $0.89, compared with $0.79 for the third quarter 2025.</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20"/>
        </w:rPr>
        <w:t>GXO generated $156 million of cash flow from operations, compared with $232 million for the third quarter 2025. In the third quarter of 2026, GXO generated $85 million of free cash flow</w:t>
      </w:r>
      <w:r>
        <w:rPr>
          <w:rFonts w:ascii="Arial;sans-serif" w:hAnsi="Arial;sans-serif"/>
          <w:b w:val="false"/>
          <w:color w:val="000000"/>
          <w:sz w:val="13"/>
        </w:rPr>
        <w:t>1</w:t>
      </w:r>
      <w:r>
        <w:rPr>
          <w:rFonts w:ascii="Arial;sans-serif" w:hAnsi="Arial;sans-serif"/>
          <w:b w:val="false"/>
          <w:color w:val="000000"/>
          <w:sz w:val="20"/>
        </w:rPr>
        <w:t>, compared with $187 million for the third quarter 2025.</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third quarter of 2026, GXO repurchased $84 million of its common stock, bringing year-to-date repurchases to $100 million, or 2.1 million shares at an average price of $47.46 per share. As of September 30, 2026, $200 million remained available under the Company’s existing share repurchase authorization.</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Balances and Outstanding Debt</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20"/>
        </w:rPr>
        <w:t>As of September 30, 2026, cash and cash equivalents (excluding restricted cash), total debt outstanding and net debt</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were $340 million, $2.8 billion and $2.5 billion, respectively.</w:t>
      </w:r>
    </w:p>
    <w:p>
      <w:pPr>
        <w:pStyle w:val="TextBody"/>
        <w:bidi w:val="0"/>
        <w:spacing w:before="0" w:after="0"/>
        <w:jc w:val="left"/>
      </w:pPr>
      <w:r/>
    </w:p>
    <w:p>
      <w:pPr>
        <w:pStyle w:val="TextBody"/>
        <w:bidi w:val="0"/>
        <w:spacing w:lineRule="auto" w:line="288" w:before="0" w:after="0"/>
        <w:jc w:val="left"/>
      </w:pPr>
      <w:r>
        <w:rPr>
          <w:rFonts w:ascii="Arial;sans-serif" w:hAnsi="Arial;sans-serif"/>
          <w:b/>
          <w:color w:val="000000"/>
          <w:sz w:val="20"/>
        </w:rPr>
        <w:t>2026 Guidance</w:t>
      </w:r>
      <w:r>
        <w:rPr>
          <w:rFonts w:ascii="Arial;sans-serif" w:hAnsi="Arial;sans-serif"/>
          <w:b/>
          <w:color w:val="000000"/>
          <w:sz w:val="13"/>
        </w:rPr>
        <w:t>2</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reaffirmed its guidance for the full year 2026 as follows: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Organic revenue growth</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4% to 5%;</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Adjusted EBITDA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$945 million to $965 million;</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Adjusted diluted EPS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$2.95 to $3.15; and</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0"/>
        </w:rPr>
        <w:t>Free cash flow conversion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30% to 40%.</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Day</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will host its 2026 Investor Day on November 16, 2026, at the New York Stock Exchange, where management will discuss its long-term strategy, financial framework and value creation opportunities. The in-person event will begin at 9:00 a.m. Eastern Time and will also be webcast live. Webcast and presentation materials will be available on the Company’s Investor Relations website at investors.gxo.com. A replay will be available following the event.</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For definitions of non-GAAP measures see the “Non-GAAP Financial Measures” section in this press release.</w:t>
      </w:r>
    </w:p>
    <w:p>
      <w:pPr>
        <w:pStyle w:val="TextBody"/>
        <w:bidi w:val="0"/>
        <w:spacing w:lineRule="auto" w:line="288"/>
        <w:jc w:val="left"/>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Our guidance reflects current foreign currency rates.</w:t>
      </w:r>
    </w:p>
    <w:p>
      <w:pPr>
        <w:pStyle w:val="TextBody"/>
        <w:bidi w:val="0"/>
        <w:spacing w:before="0" w:after="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20"/>
        </w:rPr>
        <w:t xml:space="preserve">GXO will hold a conference call on Wednesday, November 4, 2026, at 8:30 a.m. Eastern Time. Participants can call toll free (from US/Canada) 877-407-8029; international callers dial +1 201-689-8029. Conference ID: 13762379. A live webcast of the conference will be available on the Investor Relations area of the company’s website, </w:t>
      </w:r>
      <w:r>
        <w:rPr>
          <w:rFonts w:ascii="Arial;sans-serif" w:hAnsi="Arial;sans-serif"/>
          <w:b/>
          <w:color w:val="000000"/>
          <w:sz w:val="20"/>
        </w:rPr>
        <w:t>investors.gxo.com</w:t>
      </w:r>
      <w:r>
        <w:rPr>
          <w:rFonts w:ascii="Arial;sans-serif" w:hAnsi="Arial;sans-serif"/>
          <w:b w:val="false"/>
          <w:color w:val="000000"/>
          <w:sz w:val="20"/>
        </w:rPr>
        <w:t>. The conference will be archived until November 19, 2026. To access the replay by phone, call toll-free (from US/Canada) 877-660-6853; international callers dial +1 201-612-7415. Use participant passcode 13762379.</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GXO Logistics</w:t>
      </w:r>
    </w:p>
    <w:p>
      <w:pPr>
        <w:pStyle w:val="TextBody"/>
        <w:bidi w:val="0"/>
        <w:spacing w:before="0" w:after="0"/>
        <w:jc w:val="left"/>
      </w:pPr>
      <w:r/>
    </w:p>
    <w:p>
      <w:pPr>
        <w:pStyle w:val="TextBody"/>
        <w:bidi w:val="0"/>
        <w:spacing w:lineRule="auto" w:line="288" w:before="0" w:after="0"/>
        <w:jc w:val="left"/>
      </w:pPr>
      <w:r>
        <w:rPr>
          <w:rFonts w:ascii="Arial;sans-serif" w:hAnsi="Arial;sans-serif"/>
          <w:b w:val="false"/>
          <w:color w:val="000000"/>
          <w:sz w:val="20"/>
        </w:rPr>
        <w:t xml:space="preserve">GXO Logistics, Inc. (NYSE: GXO) is the world’s largest pure-play contract logistics provider and is positioned to capitalize on the rapid growth of ecommerce, automation and outsourcing. GXO has more than 150,000 team members across more than 1,000 facilities totaling more than 200 million square feet. The company serves the world’s leading blue-chip companies to solve complex logistics challenges with technologically advanced supply chain and ecommerce solutions, at scale and with speed. GXO corporate headquarters is in Greenwich, Connecticut. Visit </w:t>
      </w:r>
      <w:r>
        <w:rPr>
          <w:rFonts w:ascii="Arial;sans-serif" w:hAnsi="Arial;sans-serif"/>
          <w:b/>
          <w:color w:val="000000"/>
          <w:sz w:val="20"/>
        </w:rPr>
        <w:t>GXO.com</w:t>
      </w:r>
      <w:r>
        <w:rPr>
          <w:color w:val="000000"/>
        </w:rPr>
        <w:t xml:space="preserve"> </w:t>
      </w:r>
      <w:r>
        <w:rPr>
          <w:rFonts w:ascii="Arial;sans-serif" w:hAnsi="Arial;sans-serif"/>
          <w:b w:val="false"/>
          <w:color w:val="000000"/>
          <w:sz w:val="20"/>
        </w:rPr>
        <w:t xml:space="preserve">for more information and connect with GXO on </w:t>
      </w:r>
      <w:r>
        <w:rPr>
          <w:rFonts w:ascii="Arial;sans-serif" w:hAnsi="Arial;sans-serif"/>
          <w:b/>
          <w:color w:val="000000"/>
          <w:sz w:val="20"/>
        </w:rPr>
        <w:t>LinkedIn</w:t>
      </w:r>
      <w:r>
        <w:rPr>
          <w:rFonts w:ascii="Arial;sans-serif" w:hAnsi="Arial;sans-serif"/>
          <w:b w:val="false"/>
          <w:color w:val="000000"/>
          <w:sz w:val="20"/>
        </w:rPr>
        <w:t>, </w:t>
      </w:r>
      <w:r>
        <w:rPr>
          <w:rFonts w:ascii="Arial;sans-serif" w:hAnsi="Arial;sans-serif"/>
          <w:b/>
          <w:color w:val="000000"/>
          <w:sz w:val="20"/>
        </w:rPr>
        <w:t>X</w:t>
      </w:r>
      <w:r>
        <w:rPr>
          <w:rFonts w:ascii="Arial;sans-serif" w:hAnsi="Arial;sans-serif"/>
          <w:b w:val="false"/>
          <w:color w:val="000000"/>
          <w:sz w:val="20"/>
        </w:rPr>
        <w:t>, </w:t>
      </w:r>
      <w:r>
        <w:rPr>
          <w:rFonts w:ascii="Arial;sans-serif" w:hAnsi="Arial;sans-serif"/>
          <w:b/>
          <w:color w:val="000000"/>
          <w:sz w:val="20"/>
        </w:rPr>
        <w:t>Facebook</w:t>
      </w:r>
      <w:r>
        <w:rPr>
          <w:rFonts w:ascii="Arial;sans-serif" w:hAnsi="Arial;sans-serif"/>
          <w:b w:val="false"/>
          <w:color w:val="000000"/>
          <w:sz w:val="20"/>
        </w:rPr>
        <w:t>, </w:t>
      </w:r>
      <w:r>
        <w:rPr>
          <w:rFonts w:ascii="Arial;sans-serif" w:hAnsi="Arial;sans-serif"/>
          <w:b/>
          <w:color w:val="000000"/>
          <w:sz w:val="20"/>
        </w:rPr>
        <w:t>Instagram</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rPr>
        <w:t>YouTube</w:t>
      </w:r>
      <w:r>
        <w:rPr>
          <w:rFonts w:ascii="Arial;sans-serif" w:hAnsi="Arial;sans-serif"/>
          <w:b w:val="false"/>
          <w:color w:val="000000"/>
          <w:sz w:val="20"/>
        </w:rPr>
        <w:t>.</w:t>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required by the rules of the Securities and Exchange Commission (“SEC”), we provide reconciliations of the non-GAAP financial measures contained in this press release to the most directly comparable measure under GAAP, which are set forth in the attached financial tables.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GXO’s non-GAAP financial measures in this press release include: adjusted earnings before interest, taxes, depreciation and amortization (“adjusted EBITDA”), adjusted EBITDA margin, adjusted earnings before interest, taxes and amortization (“adjusted EBITA”), adjusted EBITA, net of income taxes paid, adjusted EBITA margin, adjusted net income attributable to GXO, adjusted earnings per share (basic and diluted) (“adjusted EPS”), free cash flow, free cash flow conversion, organic revenue, organic revenue growth, net leverage ratio, net debt, and operating return on invested capital (“ROIC”).</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the above adjusted financial measures facilitate analysis of our ongoing business operations because they exclude items that may not be reflective of, or are unrelated to, GXO’s core operating performance, and may assist investors with comparisons to prior periods and assessing trends in our underlying businesses. Other companies may calculate these non-GAAP financial measures differently, and therefore our measures may not be comparable to similarly titled measures used by other companies. GXO’s non-GAAP financial measures should only be used as supplemental measures of our operating performance.</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EBITDA, adjusted EBITA, adjusted net income attributable to GXO and adjusted EPS include adjustments for transaction and integration costs, restructuring costs and unrealized gain/loss on foreign currency contracts, a regulatory matter as well as net loss on divestiture of business, as set forth in the attached financial tables. Transaction and integration adjustments are generally incremental costs that result from an actual or planned acquisition and may include consulting fees, retention awards, internal salaries and wages (to the extent the individuals are assigned full-time to integration and transformation activities), and certain costs related to integrating facilities and separating IT systems. Restructuring costs and other primarily consisted of severance paid to exiting members of the Company’s leadership team and to individuals as part of an initiative to optimize corporate expenses. The regulatory matter relates to a regulatory settlement. And net loss on divestiture of business primarily relates to the write-down loss resulting from the held-for-sale classification.</w:t>
      </w:r>
    </w:p>
    <w:p>
      <w:pPr>
        <w:pStyle w:val="TextBody"/>
        <w:bidi w:val="0"/>
        <w:spacing w:before="0" w:after="0"/>
        <w:jc w:val="left"/>
      </w:p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We believe that adjusted EBITDA, adjusted EBITDA margin, adjusted EBITA, adjusted EBITA, net of income taxes paid, and adjusted EBITA margin, improve comparability from period to period by removing </w:t>
      </w:r>
    </w:p>
    <w:p>
      <w:pPr>
        <w:pStyle w:val="TextBody"/>
        <w:bidi w:val="0"/>
        <w:spacing w:before="0" w:after="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impact of our capital structure (interest expense), asset base (depreciation and amortization), tax impacts and other adjustments as set forth in the attached financial tables, which management has determined are not reflective of core operating activities and thereby assist investors with assessing trends in our underlying businesses.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organic revenue and organic revenue growth are important measures because they exclude the impact of foreign currency exchange rate fluctuations.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adjusted net income attributable to GXO and adjusted EPS improve the comparability of our operating results from period to period by removing the impact of certain costs and gains as set forth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attached financial tables, which management has determined are not reflective of our core operating activities, including amortization of intangible assets acquired.</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free cash flow and free cash flow conversion are important measures of our ability to repay maturing debt or fund other uses of capital that we believe will enhance stockholder value. We calculate free cash flow as cash flows from operations less capital expenditures plus proceeds from sale of property and equipment. We calculate free cash flow conversion as free cash flow divided by adjusted EBITDA, expressed as a percentage.</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that net debt and net leverage ratio are important measures of our overall liquidity position and are calculated by removing cash and cash equivalents (excluding restricted cash) and adding back bank overdrafts from our total debt and net debt as a ratio of our trailing twelve months adjusted EBITDA. We calculate ROIC as our trailing twelve months adjusted EBITA, net of income taxes paid, divided by the average invested capital. We believe ROIC provides investors with an important perspective on how effectively GXO deploys capital and use this metric internally as a high-level target to assess overall performance throughout the business cycle.</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uses these non-GAAP financial measures in making financial, operating and planning decisions and evaluating GXO’s ongoing performance.</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respect to our financial targets for full-year 2026 organic revenue growth, adjusted EBITDA, adjusted diluted EPS, and free cash flow conversion, a reconciliation of these non-GAAP measures to the corresponding GAAP measures is not available without unreasonable effort due to the variability and complexity of the reconciling items described above that we exclude from these non-GAAP target measures. The variability of these items may have a significant impact on our future GAAP financial results and, as a result, we are unable to prepare the forward-looking statements of income and cash flows in accordance with GAAP, that would be required to produce such a reconciliation.</w:t>
      </w:r>
    </w:p>
    <w:p>
      <w:pPr>
        <w:pStyle w:val="TextBody"/>
        <w:bidi w:val="0"/>
        <w:spacing w:before="0" w:after="0"/>
        <w:jc w:val="left"/>
      </w:p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before="0" w:after="0"/>
        <w:jc w:val="left"/>
      </w:p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This press release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including our full-year 2026 financial guidance of organic revenue growth, adjusted EBITDA, adjusted diluted EPS and free cash flow conversion.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the company believes are appropriate in the circumstances.</w:t>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the risks discussed in our filings with the SEC and the following: economic conditions generally; supply chain challenges, including labor shortages; competition and pricing pressures; our ability to align our investments in capital assets, including equipment, service centers and warehouses, to our respective customers’ demands; our ability to successfully integrate and realize anticipated benefits, synergies, cost savings and profit improvement opportunities with respect to acquired companies, including the acquisition of Wincanton; acquisitions may be unsuccessful or result in other risks or developments that adversely affect our financial condition and results; our ability to develop and implement suitable information technology systems and prevent failures in or breaches of such systems; our indebtedness; our ability to raise debt and equity capital; litigation; labor matters, including our ability to manage our subcontractors, and risks associated with labor disputes at our customers’ facilities and efforts by labor organizations to organize our employees; risks associated with defined benefit plans for our current and former employees; our ability to attract or retain necessary talent; the increased costs associated with labor; fluctuations in currency exchange rates; fluctuations in fixed and floating interest rates; fluctuations in customer confidence and spending; issues related to our intellectual property rights; governmental regulation, including environmental laws, trade compliance laws, as well as changes in international trade policies and tax regimes; governmental or political actions, including the United Kingdom’s exit from the European Union; natural disasters, terrorist attacks or similar incidents; damage to our reputation; a material disruption of our operations; the inability to achieve the level of revenue growth, cash generation, cost savings, improvement in profitability and margins, fiscal discipline, or strengthening of competitiveness and operations anticipated or targeted; failure in properly handling the inventory of our customers; failure to successfully incorporate artificial intelligence and humanoids in</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connection with our growth strategy; the impact of potential cyber-attacks and information technology or data security breaches; and the inability to implement technology initiatives or business systems successfully; our ability to achieve Environmental, Social and Governance goals; and a determination by the IRS that the distribution or certain related spin-off transactions should be treated as taxable transactions. Other unknown or unpredictable factors could cause actual results to differ materially from those in the forward-looking statements. Such forward-looking statements should therefore be construed in the light of such factors.</w:t>
      </w:r>
    </w:p>
    <w:p>
      <w:pPr>
        <w:pStyle w:val="TextBody"/>
        <w:bidi w:val="0"/>
        <w:spacing w:before="0" w:after="0"/>
        <w:jc w:val="left"/>
      </w:p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All forward-looking statements set forth in this release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release speak only as of the date hereof, and we do not undertake any obligation to update forward-looking statements to reflect subsequent events or circumstances, changes in expectations or the occurrence of unanticipated events, except to the extent required by law.</w:t>
      </w:r>
    </w:p>
    <w:p>
      <w:pPr>
        <w:pStyle w:val="TextBody"/>
        <w:bidi w:val="0"/>
        <w:spacing w:before="0" w:after="0"/>
        <w:jc w:val="left"/>
      </w:pPr>
      <w:r/>
    </w:p>
    <w:tbl>
      <w:tblPr>
        <w:tblW w:w="3130" w:type="dxa"/>
        <w:jc w:val="center"/>
        <w:tblInd w:w="0" w:type="dxa"/>
        <w:tblLayout w:type="fixed"/>
        <w:tblCellMar>
          <w:top w:w="28" w:type="dxa"/>
          <w:left w:w="28" w:type="dxa"/>
          <w:bottom w:w="28" w:type="dxa"/>
          <w:right w:w="28" w:type="dxa"/>
        </w:tblCellMar>
      </w:tblPr>
      <w:tblGrid>
        <w:gridCol w:w="905"/>
        <w:gridCol w:w="760"/>
        <w:gridCol w:w="766"/>
        <w:gridCol w:w="109"/>
        <w:gridCol w:w="109"/>
        <w:gridCol w:w="109"/>
        <w:gridCol w:w="109"/>
        <w:gridCol w:w="109"/>
        <w:gridCol w:w="154"/>
      </w:tblGrid>
      <w:tr>
        <w:tc>
          <w:tcPr>
            <w:tcW w:w="90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Investor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Kristine Kubacki, CFA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+1 (203) 769-7206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kristine.kubacki@gxo.com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Matthew 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+1 (203) 307-2809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matt.schmidt@gxo.com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771"/>
        <w:gridCol w:w="1227"/>
        <w:gridCol w:w="1231"/>
        <w:gridCol w:w="109"/>
        <w:gridCol w:w="109"/>
        <w:gridCol w:w="109"/>
        <w:gridCol w:w="252"/>
        <w:gridCol w:w="737"/>
        <w:gridCol w:w="130"/>
        <w:gridCol w:w="130"/>
        <w:gridCol w:w="130"/>
        <w:gridCol w:w="130"/>
        <w:gridCol w:w="252"/>
        <w:gridCol w:w="737"/>
        <w:gridCol w:w="130"/>
        <w:gridCol w:w="109"/>
        <w:gridCol w:w="109"/>
        <w:gridCol w:w="109"/>
        <w:gridCol w:w="241"/>
        <w:gridCol w:w="825"/>
        <w:gridCol w:w="124"/>
        <w:gridCol w:w="124"/>
        <w:gridCol w:w="124"/>
        <w:gridCol w:w="124"/>
        <w:gridCol w:w="241"/>
        <w:gridCol w:w="705"/>
        <w:gridCol w:w="186"/>
      </w:tblGrid>
      <w:tr>
        <w:tc>
          <w:tcPr>
            <w:tcW w:w="177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Nine Months Ended September 30, </w:t>
            </w:r>
          </w:p>
        </w:tc>
      </w:tr>
      <w:tr>
        <w:tc>
          <w:tcPr>
            <w:tcW w:w="4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(Dollars in millions, shares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 (“NCI”)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 attributable to GXO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Earnings (loss)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Weighted-average shares outstanding used in computation of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113,899 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114,473 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114,538 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114,636 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115,329 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115,395 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pPr>
      <w:r>
        <w:rPr>
          <w:rFonts w:ascii="Arial;sans-serif" w:hAnsi="Arial;sans-serif"/>
          <w:b w:val="false"/>
          <w:color w:val="000000"/>
          <w:sz w:val="20"/>
        </w:rPr>
        <w:t>(</w:t>
      </w:r>
      <w:r>
        <w:rPr>
          <w:rFonts w:ascii="Arial;sans-serif" w:hAnsi="Arial;sans-serif"/>
          <w:b/>
          <w:color w:val="000000"/>
          <w:sz w:val="20"/>
        </w:rPr>
        <w:t>Unaudited</w:t>
      </w:r>
      <w:r>
        <w:rPr>
          <w:rFonts w:ascii="Arial;sans-serif" w:hAnsi="Arial;sans-serif"/>
          <w:b w:val="false"/>
          <w:color w:val="000000"/>
          <w:sz w:val="20"/>
        </w:rPr>
        <w:t>)</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2722"/>
        <w:gridCol w:w="2201"/>
        <w:gridCol w:w="2208"/>
        <w:gridCol w:w="109"/>
        <w:gridCol w:w="109"/>
        <w:gridCol w:w="109"/>
        <w:gridCol w:w="240"/>
        <w:gridCol w:w="823"/>
        <w:gridCol w:w="125"/>
        <w:gridCol w:w="109"/>
        <w:gridCol w:w="109"/>
        <w:gridCol w:w="109"/>
        <w:gridCol w:w="238"/>
        <w:gridCol w:w="816"/>
        <w:gridCol w:w="178"/>
      </w:tblGrid>
      <w:tr>
        <w:tc>
          <w:tcPr>
            <w:tcW w:w="2722"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December 31, </w:t>
            </w:r>
          </w:p>
        </w:tc>
      </w:tr>
      <w:tr>
        <w:tc>
          <w:tcPr>
            <w:tcW w:w="7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(Dollars in millions, shares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c>
          <w:tcPr>
            <w:tcW w:w="7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net of allowance of $14 and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3,288 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 net of accumulated depreciation of $2,270 and $2,126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3,781 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 net of accumulated amortization of $851 and $781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9,201 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8,974 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12,145 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12,262 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Total 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3,853 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3,875 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Total long-term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stock, $0.01 par value per share; 300,000 shares authorized, 120,490 and 119,868 shares issued and 113,026 and 114,512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Treasury stock, at cost; 7,464 and 5,356 shares, respectively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Preferred stock, $0.01 par value per share; 10,000 shares authorized, none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 Capital (“APIC”)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 (“AOCIL”)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Total stockholders’ equity before NCI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Total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12,145 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12,262 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pPr>
      <w:r>
        <w:rPr>
          <w:rFonts w:ascii="Arial;sans-serif" w:hAnsi="Arial;sans-serif"/>
          <w:b w:val="false"/>
          <w:color w:val="000000"/>
          <w:sz w:val="20"/>
        </w:rPr>
        <w:t>(</w:t>
      </w:r>
      <w:r>
        <w:rPr>
          <w:rFonts w:ascii="Arial;sans-serif" w:hAnsi="Arial;sans-serif"/>
          <w:b/>
          <w:color w:val="000000"/>
          <w:sz w:val="20"/>
        </w:rPr>
        <w:t>Unaudited</w:t>
      </w:r>
      <w:r>
        <w:rPr>
          <w:rFonts w:ascii="Arial;sans-serif" w:hAnsi="Arial;sans-serif"/>
          <w:b w:val="false"/>
          <w:color w:val="000000"/>
          <w:sz w:val="20"/>
        </w:rPr>
        <w:t>)</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2289"/>
        <w:gridCol w:w="1916"/>
        <w:gridCol w:w="1907"/>
        <w:gridCol w:w="109"/>
        <w:gridCol w:w="109"/>
        <w:gridCol w:w="109"/>
        <w:gridCol w:w="453"/>
        <w:gridCol w:w="969"/>
        <w:gridCol w:w="218"/>
        <w:gridCol w:w="160"/>
        <w:gridCol w:w="160"/>
        <w:gridCol w:w="160"/>
        <w:gridCol w:w="433"/>
        <w:gridCol w:w="913"/>
        <w:gridCol w:w="300"/>
      </w:tblGrid>
      <w:tr>
        <w:tc>
          <w:tcPr>
            <w:tcW w:w="228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c>
          <w:tcPr>
            <w:tcW w:w="6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Nine Months Ended September 30, </w:t>
            </w:r>
          </w:p>
        </w:tc>
      </w:tr>
      <w:tr>
        <w:tc>
          <w:tcPr>
            <w:tcW w:w="6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c>
          <w:tcPr>
            <w:tcW w:w="6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in connection with divestiture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Cross-currency swap agreements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stock repurchased and excise tax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borrowings under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Repayments of long-term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Repayments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Obligations under factoring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(536)</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decrease in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restricted 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857</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485</w:t>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Cash, restricted cash and cash equivalents, end of period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Non-cash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Excise tax liability related to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Reconciliation of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30, 2026</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857 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Key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Disaggregation of Revenue</w:t>
      </w:r>
    </w:p>
    <w:p>
      <w:pPr>
        <w:pStyle w:val="TextBody"/>
        <w:bidi w:val="0"/>
        <w:spacing w:lineRule="auto" w:line="288" w:before="0" w:after="0"/>
        <w:jc w:val="center"/>
      </w:pPr>
      <w:r>
        <w:rPr>
          <w:rFonts w:ascii="Arial;sans-serif" w:hAnsi="Arial;sans-serif"/>
          <w:b w:val="false"/>
          <w:color w:val="000000"/>
          <w:sz w:val="20"/>
        </w:rPr>
        <w:t>(</w:t>
      </w:r>
      <w:r>
        <w:rPr>
          <w:rFonts w:ascii="Arial;sans-serif" w:hAnsi="Arial;sans-serif"/>
          <w:b/>
          <w:color w:val="000000"/>
          <w:sz w:val="20"/>
        </w:rPr>
        <w:t>Unaudited</w:t>
      </w:r>
      <w:r>
        <w:rPr>
          <w:rFonts w:ascii="Arial;sans-serif" w:hAnsi="Arial;sans-serif"/>
          <w:b w:val="false"/>
          <w:color w:val="000000"/>
          <w:sz w:val="20"/>
        </w:rPr>
        <w:t>)</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 disaggregated by geographical area was as follows:</w:t>
      </w:r>
    </w:p>
    <w:p>
      <w:pPr>
        <w:pStyle w:val="TextBody"/>
        <w:bidi w:val="0"/>
        <w:spacing w:before="0" w:after="0"/>
        <w:jc w:val="left"/>
      </w:pPr>
      <w:r/>
    </w:p>
    <w:tbl>
      <w:tblPr>
        <w:tblW w:w="8417" w:type="dxa"/>
        <w:jc w:val="center"/>
        <w:tblInd w:w="0" w:type="dxa"/>
        <w:tblLayout w:type="fixed"/>
        <w:tblCellMar>
          <w:top w:w="28" w:type="dxa"/>
          <w:left w:w="28" w:type="dxa"/>
          <w:bottom w:w="28" w:type="dxa"/>
          <w:right w:w="28" w:type="dxa"/>
        </w:tblCellMar>
      </w:tblPr>
      <w:tblGrid>
        <w:gridCol w:w="522"/>
        <w:gridCol w:w="458"/>
        <w:gridCol w:w="460"/>
        <w:gridCol w:w="109"/>
        <w:gridCol w:w="109"/>
        <w:gridCol w:w="109"/>
        <w:gridCol w:w="306"/>
        <w:gridCol w:w="895"/>
        <w:gridCol w:w="158"/>
        <w:gridCol w:w="158"/>
        <w:gridCol w:w="158"/>
        <w:gridCol w:w="158"/>
        <w:gridCol w:w="306"/>
        <w:gridCol w:w="895"/>
        <w:gridCol w:w="158"/>
        <w:gridCol w:w="109"/>
        <w:gridCol w:w="109"/>
        <w:gridCol w:w="109"/>
        <w:gridCol w:w="281"/>
        <w:gridCol w:w="962"/>
        <w:gridCol w:w="145"/>
        <w:gridCol w:w="145"/>
        <w:gridCol w:w="145"/>
        <w:gridCol w:w="145"/>
        <w:gridCol w:w="281"/>
        <w:gridCol w:w="822"/>
        <w:gridCol w:w="205"/>
      </w:tblGrid>
      <w:t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Nine Months Ended September 30, </w:t>
            </w:r>
          </w:p>
        </w:tc>
      </w:tr>
      <w:t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Spain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10,329 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9,671 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revenue can also be disaggregated by various verticals, reflecting the customers’ principal industry. Revenue disaggregated by industry was as follows:</w:t>
      </w:r>
    </w:p>
    <w:p>
      <w:pPr>
        <w:pStyle w:val="TextBody"/>
        <w:bidi w:val="0"/>
        <w:spacing w:before="0" w:after="0"/>
        <w:jc w:val="left"/>
      </w:pPr>
      <w:r/>
    </w:p>
    <w:tbl>
      <w:tblPr>
        <w:tblW w:w="10202" w:type="dxa"/>
        <w:jc w:val="center"/>
        <w:tblInd w:w="0" w:type="dxa"/>
        <w:tblLayout w:type="fixed"/>
        <w:tblCellMar>
          <w:top w:w="28" w:type="dxa"/>
          <w:left w:w="28" w:type="dxa"/>
          <w:bottom w:w="28" w:type="dxa"/>
          <w:right w:w="28" w:type="dxa"/>
        </w:tblCellMar>
      </w:tblPr>
      <w:tblGrid>
        <w:gridCol w:w="1167"/>
        <w:gridCol w:w="1023"/>
        <w:gridCol w:w="1035"/>
        <w:gridCol w:w="109"/>
        <w:gridCol w:w="109"/>
        <w:gridCol w:w="109"/>
        <w:gridCol w:w="306"/>
        <w:gridCol w:w="895"/>
        <w:gridCol w:w="158"/>
        <w:gridCol w:w="158"/>
        <w:gridCol w:w="158"/>
        <w:gridCol w:w="158"/>
        <w:gridCol w:w="306"/>
        <w:gridCol w:w="895"/>
        <w:gridCol w:w="158"/>
        <w:gridCol w:w="109"/>
        <w:gridCol w:w="109"/>
        <w:gridCol w:w="109"/>
        <w:gridCol w:w="281"/>
        <w:gridCol w:w="962"/>
        <w:gridCol w:w="145"/>
        <w:gridCol w:w="145"/>
        <w:gridCol w:w="145"/>
        <w:gridCol w:w="145"/>
        <w:gridCol w:w="281"/>
        <w:gridCol w:w="822"/>
        <w:gridCol w:w="205"/>
      </w:tblGrid>
      <w:tr>
        <w:tc>
          <w:tcPr>
            <w:tcW w:w="116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Nine Months Ended September 30, </w:t>
            </w:r>
          </w:p>
        </w:tc>
      </w:tr>
      <w:t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Omnichannel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4,887 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Technology and consumer electronics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Industrial and 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Consumer packaged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10,329 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9,671 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Net Income (Loss) to Adjusted EBITDA,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Operating Income and Adjusted EBITDA Margins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939"/>
        <w:gridCol w:w="515"/>
        <w:gridCol w:w="517"/>
        <w:gridCol w:w="109"/>
        <w:gridCol w:w="109"/>
        <w:gridCol w:w="109"/>
        <w:gridCol w:w="258"/>
        <w:gridCol w:w="571"/>
        <w:gridCol w:w="133"/>
        <w:gridCol w:w="133"/>
        <w:gridCol w:w="133"/>
        <w:gridCol w:w="133"/>
        <w:gridCol w:w="331"/>
        <w:gridCol w:w="372"/>
        <w:gridCol w:w="201"/>
        <w:gridCol w:w="109"/>
        <w:gridCol w:w="109"/>
        <w:gridCol w:w="109"/>
        <w:gridCol w:w="357"/>
        <w:gridCol w:w="425"/>
        <w:gridCol w:w="254"/>
        <w:gridCol w:w="147"/>
        <w:gridCol w:w="147"/>
        <w:gridCol w:w="147"/>
        <w:gridCol w:w="357"/>
        <w:gridCol w:w="359"/>
        <w:gridCol w:w="224"/>
        <w:gridCol w:w="109"/>
        <w:gridCol w:w="109"/>
        <w:gridCol w:w="109"/>
        <w:gridCol w:w="284"/>
        <w:gridCol w:w="631"/>
        <w:gridCol w:w="148"/>
        <w:gridCol w:w="109"/>
        <w:gridCol w:w="109"/>
        <w:gridCol w:w="109"/>
        <w:gridCol w:w="519"/>
        <w:gridCol w:w="268"/>
        <w:gridCol w:w="394"/>
      </w:tblGrid>
      <w:tr>
        <w:tc>
          <w:tcPr>
            <w:tcW w:w="93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Nine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Trailing Twelve</w:t>
              <w:br/>
              <w:t>Months Ended</w:t>
              <w:br/>
              <w:t>September 30, 2026</w:t>
            </w:r>
          </w:p>
        </w:tc>
      </w:tr>
      <w:t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vMerge w:val="continue"/>
            <w:tcBorders/>
            <w:tcMar>
              <w:top w:w="0" w:type="dxa"/>
              <w:left w:w="0" w:type="dxa"/>
              <w:bottom w:w="0" w:type="dxa"/>
              <w:right w:w="0" w:type="dxa"/>
            </w:tcMar>
            <w:vAlign w:val="center"/>
          </w:tcPr>
          <w:p>
            <w:pPr>
              <w:pStyle w:val="Normal"/>
              <w:bidi w:val="0"/>
              <w:jc w:val="left"/>
            </w:pPr>
            <w:r/>
          </w:p>
        </w:tc>
      </w:tr>
      <w:tr>
        <w:tc>
          <w:tcPr>
            <w:tcW w:w="1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 attributable to GXO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w:t>
            </w:r>
          </w:p>
        </w:tc>
      </w:tr>
      <w:tr>
        <w:tc>
          <w:tcPr>
            <w:tcW w:w="1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attributable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r>
      <w:tr>
        <w:tc>
          <w:tcPr>
            <w:tcW w:w="1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w:t>
            </w:r>
          </w:p>
        </w:tc>
      </w:tr>
      <w:tr>
        <w:tc>
          <w:tcPr>
            <w:tcW w:w="1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w:t>
            </w:r>
          </w:p>
        </w:tc>
      </w:tr>
      <w:tr>
        <w:tc>
          <w:tcPr>
            <w:tcW w:w="1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w:t>
            </w:r>
          </w:p>
        </w:tc>
      </w:tr>
      <w:tr>
        <w:tc>
          <w:tcPr>
            <w:tcW w:w="1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467</w:t>
            </w:r>
          </w:p>
        </w:tc>
      </w:tr>
      <w:tr>
        <w:tc>
          <w:tcPr>
            <w:tcW w:w="1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w:t>
            </w:r>
          </w:p>
        </w:tc>
      </w:tr>
      <w:tr>
        <w:tc>
          <w:tcPr>
            <w:tcW w:w="1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r>
      <w:tr>
        <w:tc>
          <w:tcPr>
            <w:tcW w:w="1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c>
          <w:tcPr>
            <w:tcW w:w="1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w:t>
            </w:r>
          </w:p>
        </w:tc>
      </w:tr>
      <w:tr>
        <w:tc>
          <w:tcPr>
            <w:tcW w:w="1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(gain) loss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r>
      <w:tr>
        <w:tc>
          <w:tcPr>
            <w:tcW w:w="19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Adjusted EBITDA</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670</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925</w:t>
            </w:r>
          </w:p>
        </w:tc>
      </w:tr>
      <w:tr>
        <w:tc>
          <w:tcPr>
            <w:tcW w:w="1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3,590</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10,329</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Operating income margin</w:t>
            </w:r>
            <w:r>
              <w:rPr>
                <w:rFonts w:ascii="Arial;sans-serif" w:hAnsi="Arial;sans-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Adjusted EBITDA margin</w:t>
            </w:r>
            <w:r>
              <w:rPr>
                <w:rFonts w:ascii="Arial;sans-serif" w:hAnsi="Arial;sans-serif"/>
                <w:b/>
                <w:color w:val="000000"/>
                <w:sz w:val="12"/>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See the “Non-GAAP Financial Measures” section of this press release.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Operating income margin is calculated as operating income divided by revenue for the period.</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 Adjusted EBITDA margin is calculated as adjusted EBITDA divided by revenue for the period.</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Net Income (Loss) to Adjusted EBITA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and Adjusted EBITA Margin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979"/>
        <w:gridCol w:w="571"/>
        <w:gridCol w:w="574"/>
        <w:gridCol w:w="109"/>
        <w:gridCol w:w="109"/>
        <w:gridCol w:w="109"/>
        <w:gridCol w:w="245"/>
        <w:gridCol w:w="543"/>
        <w:gridCol w:w="126"/>
        <w:gridCol w:w="126"/>
        <w:gridCol w:w="126"/>
        <w:gridCol w:w="126"/>
        <w:gridCol w:w="245"/>
        <w:gridCol w:w="543"/>
        <w:gridCol w:w="126"/>
        <w:gridCol w:w="109"/>
        <w:gridCol w:w="109"/>
        <w:gridCol w:w="109"/>
        <w:gridCol w:w="242"/>
        <w:gridCol w:w="607"/>
        <w:gridCol w:w="125"/>
        <w:gridCol w:w="125"/>
        <w:gridCol w:w="125"/>
        <w:gridCol w:w="125"/>
        <w:gridCol w:w="242"/>
        <w:gridCol w:w="536"/>
        <w:gridCol w:w="125"/>
        <w:gridCol w:w="109"/>
        <w:gridCol w:w="109"/>
        <w:gridCol w:w="109"/>
        <w:gridCol w:w="293"/>
        <w:gridCol w:w="651"/>
        <w:gridCol w:w="153"/>
        <w:gridCol w:w="109"/>
        <w:gridCol w:w="109"/>
        <w:gridCol w:w="109"/>
        <w:gridCol w:w="305"/>
        <w:gridCol w:w="674"/>
        <w:gridCol w:w="239"/>
      </w:tblGrid>
      <w:tr>
        <w:tc>
          <w:tcPr>
            <w:tcW w:w="97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Nine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Trailing Twelve</w:t>
              <w:br/>
              <w:t>Months Ended</w:t>
              <w:br/>
              <w:t>September 30, 2026</w:t>
            </w:r>
          </w:p>
        </w:tc>
      </w:tr>
      <w:tr>
        <w:tc>
          <w:tcPr>
            <w:tcW w:w="2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pPr>
            <w:r/>
          </w:p>
        </w:tc>
      </w:tr>
      <w:tr>
        <w:tc>
          <w:tcPr>
            <w:tcW w:w="2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 attributable to GXO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attributable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(gain) loss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Adjusted EBITA</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10,329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Adjusted EBITA margin</w:t>
            </w:r>
            <w:r>
              <w:rPr>
                <w:rFonts w:ascii="Arial;sans-serif" w:hAnsi="Arial;sans-serif"/>
                <w:b/>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See the “Non-GAAP Financial Measures” section of this press release.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Adjusted EBITA margin is calculated as adjusted EBITA divided by revenue for the period.</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Net Income (Loss) to Adjusted Net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and Adjusted Earnings Per Share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799"/>
        <w:gridCol w:w="1249"/>
        <w:gridCol w:w="1253"/>
        <w:gridCol w:w="109"/>
        <w:gridCol w:w="109"/>
        <w:gridCol w:w="109"/>
        <w:gridCol w:w="325"/>
        <w:gridCol w:w="643"/>
        <w:gridCol w:w="137"/>
        <w:gridCol w:w="137"/>
        <w:gridCol w:w="137"/>
        <w:gridCol w:w="137"/>
        <w:gridCol w:w="325"/>
        <w:gridCol w:w="643"/>
        <w:gridCol w:w="137"/>
        <w:gridCol w:w="109"/>
        <w:gridCol w:w="109"/>
        <w:gridCol w:w="109"/>
        <w:gridCol w:w="319"/>
        <w:gridCol w:w="629"/>
        <w:gridCol w:w="134"/>
        <w:gridCol w:w="134"/>
        <w:gridCol w:w="134"/>
        <w:gridCol w:w="134"/>
        <w:gridCol w:w="319"/>
        <w:gridCol w:w="629"/>
        <w:gridCol w:w="197"/>
      </w:tblGrid>
      <w:tr>
        <w:tc>
          <w:tcPr>
            <w:tcW w:w="179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43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(Dollars in millions, shares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Nine Months Ended September 30, </w:t>
            </w:r>
          </w:p>
        </w:tc>
      </w:tr>
      <w:tr>
        <w:tc>
          <w:tcPr>
            <w:tcW w:w="430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c>
          <w:tcPr>
            <w:tcW w:w="4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attributable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 attributable to GXO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(gain) loss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000000"/>
                <w:sz w:val="18"/>
              </w:rPr>
              <w:t>Income tax associated with the adjustments above</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Adjusted net income attributable to GXO</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Adjusted basic EPS</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Adjusted diluted EPS</w:t>
            </w:r>
            <w:r>
              <w:rPr>
                <w:rFonts w:ascii="Arial;sans-serif" w:hAnsi="Arial;sans-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Weighted-average shares outstanding used in computation of adjusted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113,899 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114,473 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114,538 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116,075 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000000"/>
                <w:sz w:val="18"/>
              </w:rPr>
              <w:t>Diluted</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114,636 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115,329 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115,395 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116,540 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The income tax rate applied to items is based on the GAAP annual effective tax rate.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See the “Non-GAAP Financial Measures” section of this press release.</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(3) The nine months ended September 30, 2025, calculation of earnings per share - diluted (GAAP) excludes 465 thousand shares due to their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Other Reconciliations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Cash Flows from Operations to Free Cash Flow:</w:t>
      </w:r>
    </w:p>
    <w:tbl>
      <w:tblPr>
        <w:tblW w:w="10205" w:type="dxa"/>
        <w:jc w:val="center"/>
        <w:tblInd w:w="0" w:type="dxa"/>
        <w:tblLayout w:type="fixed"/>
        <w:tblCellMar>
          <w:top w:w="28" w:type="dxa"/>
          <w:left w:w="28" w:type="dxa"/>
          <w:bottom w:w="28" w:type="dxa"/>
          <w:right w:w="28" w:type="dxa"/>
        </w:tblCellMar>
      </w:tblPr>
      <w:tblGrid>
        <w:gridCol w:w="1289"/>
        <w:gridCol w:w="1122"/>
        <w:gridCol w:w="1129"/>
        <w:gridCol w:w="109"/>
        <w:gridCol w:w="109"/>
        <w:gridCol w:w="109"/>
        <w:gridCol w:w="336"/>
        <w:gridCol w:w="743"/>
        <w:gridCol w:w="173"/>
        <w:gridCol w:w="173"/>
        <w:gridCol w:w="173"/>
        <w:gridCol w:w="173"/>
        <w:gridCol w:w="336"/>
        <w:gridCol w:w="743"/>
        <w:gridCol w:w="173"/>
        <w:gridCol w:w="109"/>
        <w:gridCol w:w="109"/>
        <w:gridCol w:w="109"/>
        <w:gridCol w:w="323"/>
        <w:gridCol w:w="714"/>
        <w:gridCol w:w="166"/>
        <w:gridCol w:w="166"/>
        <w:gridCol w:w="166"/>
        <w:gridCol w:w="166"/>
        <w:gridCol w:w="323"/>
        <w:gridCol w:w="714"/>
        <w:gridCol w:w="250"/>
      </w:tblGrid>
      <w:tr>
        <w:tc>
          <w:tcPr>
            <w:tcW w:w="128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Nine Months Ended September 30, </w:t>
            </w:r>
          </w:p>
        </w:tc>
      </w:tr>
      <w:t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Cash flows from operations</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Free cash flow</w:t>
            </w:r>
            <w:r>
              <w:rPr>
                <w:rFonts w:ascii="Arial;sans-serif" w:hAnsi="Arial;sans-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Net cash provided by operating activities.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See the “Non-GAAP Financial Measures” section of this press release.</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Revenue to Organic Revenue:</w:t>
      </w:r>
    </w:p>
    <w:tbl>
      <w:tblPr>
        <w:tblW w:w="9451" w:type="dxa"/>
        <w:jc w:val="center"/>
        <w:tblInd w:w="0" w:type="dxa"/>
        <w:tblLayout w:type="fixed"/>
        <w:tblCellMar>
          <w:top w:w="28" w:type="dxa"/>
          <w:left w:w="28" w:type="dxa"/>
          <w:bottom w:w="28" w:type="dxa"/>
          <w:right w:w="28" w:type="dxa"/>
        </w:tblCellMar>
      </w:tblPr>
      <w:tblGrid>
        <w:gridCol w:w="897"/>
        <w:gridCol w:w="787"/>
        <w:gridCol w:w="790"/>
        <w:gridCol w:w="109"/>
        <w:gridCol w:w="109"/>
        <w:gridCol w:w="109"/>
        <w:gridCol w:w="306"/>
        <w:gridCol w:w="895"/>
        <w:gridCol w:w="158"/>
        <w:gridCol w:w="158"/>
        <w:gridCol w:w="158"/>
        <w:gridCol w:w="158"/>
        <w:gridCol w:w="306"/>
        <w:gridCol w:w="895"/>
        <w:gridCol w:w="158"/>
        <w:gridCol w:w="109"/>
        <w:gridCol w:w="109"/>
        <w:gridCol w:w="109"/>
        <w:gridCol w:w="281"/>
        <w:gridCol w:w="962"/>
        <w:gridCol w:w="145"/>
        <w:gridCol w:w="145"/>
        <w:gridCol w:w="145"/>
        <w:gridCol w:w="145"/>
        <w:gridCol w:w="281"/>
        <w:gridCol w:w="822"/>
        <w:gridCol w:w="205"/>
      </w:tblGrid>
      <w:t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Nine Months Ended September 30, </w:t>
            </w:r>
          </w:p>
        </w:tc>
      </w:tr>
      <w:t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10,329 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9,671 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Organic revenue</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10,124 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9,671 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Revenue growth</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Organic revenue growth</w:t>
            </w:r>
            <w:r>
              <w:rPr>
                <w:rFonts w:ascii="Arial;sans-serif" w:hAnsi="Arial;sans-serif"/>
                <w:b/>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See the “Non-GAAP Financial Measures” section of this press release.</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 Revenue growth is calculated as the change in the period-over-period revenue divided by the prior period, expressed as a percentage.</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(3) Organic revenue growth is calculated as the change in the period-over-period organic revenue divided by the prior period, expressed as a percentage.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Liquidity Reconciliations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Total Debt and Net Debt:</w:t>
      </w:r>
    </w:p>
    <w:tbl>
      <w:tblPr>
        <w:tblW w:w="7197" w:type="dxa"/>
        <w:jc w:val="center"/>
        <w:tblInd w:w="0" w:type="dxa"/>
        <w:tblLayout w:type="fixed"/>
        <w:tblCellMar>
          <w:top w:w="28" w:type="dxa"/>
          <w:left w:w="28" w:type="dxa"/>
          <w:bottom w:w="28" w:type="dxa"/>
          <w:right w:w="28" w:type="dxa"/>
        </w:tblCellMar>
      </w:tblPr>
      <w:tblGrid>
        <w:gridCol w:w="1815"/>
        <w:gridCol w:w="1594"/>
        <w:gridCol w:w="1601"/>
        <w:gridCol w:w="109"/>
        <w:gridCol w:w="109"/>
        <w:gridCol w:w="109"/>
        <w:gridCol w:w="399"/>
        <w:gridCol w:w="1168"/>
        <w:gridCol w:w="293"/>
      </w:tblGrid>
      <w:tr>
        <w:tc>
          <w:tcPr>
            <w:tcW w:w="181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c>
          <w:tcPr>
            <w:tcW w:w="5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30, 2026</w:t>
            </w:r>
          </w:p>
        </w:tc>
      </w:tr>
      <w:tr>
        <w:tc>
          <w:tcPr>
            <w:tcW w:w="5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Total debt</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Plus: Bank overdrafts (included in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Cash and cash equivalents (excluding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(340)</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Net debt</w:t>
            </w:r>
            <w:r>
              <w:rPr>
                <w:rFonts w:ascii="Arial;sans-serif" w:hAnsi="Arial;sans-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2,480 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Includes finance leases and other debt of $497 million as of September 30, 2026.</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See the “Non-GAAP Financial Measures” section of this press release.</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Total debt to Net income Ratio:</w:t>
      </w:r>
    </w:p>
    <w:tbl>
      <w:tblPr>
        <w:tblW w:w="5081" w:type="dxa"/>
        <w:jc w:val="center"/>
        <w:tblInd w:w="0" w:type="dxa"/>
        <w:tblLayout w:type="fixed"/>
        <w:tblCellMar>
          <w:top w:w="28" w:type="dxa"/>
          <w:left w:w="28" w:type="dxa"/>
          <w:bottom w:w="28" w:type="dxa"/>
          <w:right w:w="28" w:type="dxa"/>
        </w:tblCellMar>
      </w:tblPr>
      <w:tblGrid>
        <w:gridCol w:w="1049"/>
        <w:gridCol w:w="921"/>
        <w:gridCol w:w="924"/>
        <w:gridCol w:w="109"/>
        <w:gridCol w:w="109"/>
        <w:gridCol w:w="109"/>
        <w:gridCol w:w="399"/>
        <w:gridCol w:w="1168"/>
        <w:gridCol w:w="293"/>
      </w:tblGrid>
      <w:t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30, 2026</w:t>
            </w:r>
          </w:p>
        </w:tc>
      </w:tr>
      <w:t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Trailing twelve months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Debt to net income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20.1x</w:t>
            </w:r>
          </w:p>
        </w:tc>
      </w:tr>
    </w:tbl>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Net Leverage Ratio:</w:t>
      </w:r>
    </w:p>
    <w:tbl>
      <w:tblPr>
        <w:tblW w:w="5787" w:type="dxa"/>
        <w:jc w:val="center"/>
        <w:tblInd w:w="0" w:type="dxa"/>
        <w:tblLayout w:type="fixed"/>
        <w:tblCellMar>
          <w:top w:w="28" w:type="dxa"/>
          <w:left w:w="28" w:type="dxa"/>
          <w:bottom w:w="28" w:type="dxa"/>
          <w:right w:w="28" w:type="dxa"/>
        </w:tblCellMar>
      </w:tblPr>
      <w:tblGrid>
        <w:gridCol w:w="1305"/>
        <w:gridCol w:w="1146"/>
        <w:gridCol w:w="1149"/>
        <w:gridCol w:w="109"/>
        <w:gridCol w:w="109"/>
        <w:gridCol w:w="109"/>
        <w:gridCol w:w="399"/>
        <w:gridCol w:w="1168"/>
        <w:gridCol w:w="293"/>
      </w:tblGrid>
      <w:tr>
        <w:tc>
          <w:tcPr>
            <w:tcW w:w="1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30, 2026</w:t>
            </w:r>
          </w:p>
        </w:tc>
      </w:tr>
      <w:tr>
        <w:tc>
          <w:tcPr>
            <w:tcW w:w="3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000000"/>
                <w:sz w:val="18"/>
              </w:rPr>
              <w:t>Net debt</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000000"/>
                <w:sz w:val="18"/>
              </w:rPr>
              <w:t>Trailing twelve months adjusted EBITDA</w:t>
            </w:r>
            <w:r>
              <w:rPr>
                <w:rFonts w:ascii="Arial;sans-serif" w:hAnsi="Arial;sans-serif"/>
                <w:b w:val="false"/>
                <w:color w:val="000000"/>
                <w:sz w:val="12"/>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Net leverage ratio</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2.7x</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See the “Non-GAAP Financial Measures” section of this press release.</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GXO Logistics,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Return on Invested Capital</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EBITA, net of income taxes paid:</w:t>
      </w:r>
    </w:p>
    <w:tbl>
      <w:tblPr>
        <w:tblW w:w="10205" w:type="dxa"/>
        <w:jc w:val="center"/>
        <w:tblInd w:w="0" w:type="dxa"/>
        <w:tblLayout w:type="fixed"/>
        <w:tblCellMar>
          <w:top w:w="28" w:type="dxa"/>
          <w:left w:w="28" w:type="dxa"/>
          <w:bottom w:w="28" w:type="dxa"/>
          <w:right w:w="28" w:type="dxa"/>
        </w:tblCellMar>
      </w:tblPr>
      <w:tblGrid>
        <w:gridCol w:w="1177"/>
        <w:gridCol w:w="1017"/>
        <w:gridCol w:w="1016"/>
        <w:gridCol w:w="109"/>
        <w:gridCol w:w="109"/>
        <w:gridCol w:w="109"/>
        <w:gridCol w:w="316"/>
        <w:gridCol w:w="699"/>
        <w:gridCol w:w="163"/>
        <w:gridCol w:w="163"/>
        <w:gridCol w:w="163"/>
        <w:gridCol w:w="163"/>
        <w:gridCol w:w="316"/>
        <w:gridCol w:w="699"/>
        <w:gridCol w:w="163"/>
        <w:gridCol w:w="109"/>
        <w:gridCol w:w="109"/>
        <w:gridCol w:w="109"/>
        <w:gridCol w:w="433"/>
        <w:gridCol w:w="958"/>
        <w:gridCol w:w="224"/>
        <w:gridCol w:w="109"/>
        <w:gridCol w:w="109"/>
        <w:gridCol w:w="109"/>
        <w:gridCol w:w="391"/>
        <w:gridCol w:w="866"/>
        <w:gridCol w:w="297"/>
      </w:tblGrid>
      <w:tr>
        <w:tc>
          <w:tcPr>
            <w:tcW w:w="117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Nine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Year Ended</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Trailing Twelve</w:t>
              <w:br/>
              <w:t>Months Ended</w:t>
              <w:br/>
              <w:t>September 30, 2026</w:t>
            </w:r>
          </w:p>
        </w:tc>
      </w:tr>
      <w:t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continue"/>
            <w:tcBorders/>
            <w:tcMar>
              <w:top w:w="0" w:type="dxa"/>
              <w:left w:w="0" w:type="dxa"/>
              <w:bottom w:w="0" w:type="dxa"/>
              <w:right w:w="0" w:type="dxa"/>
            </w:tcMar>
            <w:vAlign w:val="center"/>
          </w:tcPr>
          <w:p>
            <w:pPr>
              <w:pStyle w:val="Normal"/>
              <w:bidi w:val="0"/>
              <w:jc w:val="left"/>
            </w:pPr>
            <w:r/>
          </w:p>
        </w:tc>
      </w:tr>
      <w:t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Adjusted EBITA</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Less: 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Adjusted EBITA</w:t>
            </w:r>
            <w:r>
              <w:rPr>
                <w:rFonts w:ascii="Arial;sans-serif" w:hAnsi="Arial;sans-serif"/>
                <w:b/>
                <w:color w:val="000000"/>
                <w:sz w:val="12"/>
              </w:rPr>
              <w:t>(1)</w:t>
            </w:r>
            <w:r>
              <w:rPr>
                <w:rFonts w:ascii="Arial;sans-serif" w:hAnsi="Arial;sans-serif"/>
                <w:b/>
                <w:color w:val="000000"/>
                <w:sz w:val="18"/>
              </w:rPr>
              <w:t>, net of 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See the “Non-GAAP Financial Measures” section of this press release.</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Return on Invested Capital (ROIC):</w:t>
      </w:r>
    </w:p>
    <w:tbl>
      <w:tblPr>
        <w:tblW w:w="9219" w:type="dxa"/>
        <w:jc w:val="center"/>
        <w:tblInd w:w="0" w:type="dxa"/>
        <w:tblLayout w:type="fixed"/>
        <w:tblCellMar>
          <w:top w:w="28" w:type="dxa"/>
          <w:left w:w="28" w:type="dxa"/>
          <w:bottom w:w="28" w:type="dxa"/>
          <w:right w:w="28" w:type="dxa"/>
        </w:tblCellMar>
      </w:tblPr>
      <w:tblGrid>
        <w:gridCol w:w="1953"/>
        <w:gridCol w:w="1714"/>
        <w:gridCol w:w="1718"/>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c>
          <w:tcPr>
            <w:tcW w:w="195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Average</w:t>
            </w:r>
          </w:p>
        </w:tc>
      </w:tr>
      <w:tr>
        <w:tc>
          <w:tcPr>
            <w:tcW w:w="5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Selected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Selected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000000"/>
                <w:sz w:val="18"/>
              </w:rPr>
              <w:t>Other current liabilities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Invested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Trailing twelve months net income to average invested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w:t>
            </w:r>
          </w:p>
        </w:tc>
      </w:tr>
      <w:t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color w:val="000000"/>
                <w:sz w:val="18"/>
              </w:rPr>
              <w:t>Operating return on invested capital</w:t>
            </w:r>
            <w:r>
              <w:rPr>
                <w:rFonts w:ascii="Arial;sans-serif" w:hAnsi="Arial;sans-serif"/>
                <w:b/>
                <w:color w:val="000000"/>
                <w:sz w:val="12"/>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45.6%</w:t>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 As of September 30, 2026, excludes $2 million of bank overdraft.</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See the “Non-GAAP Financial Measures” section of this press release.</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(3) The ratio of operating return on invested capital is calculated as trailing twelve months adjusted EBITA, net of income taxes paid, divided by the average invested capital.</w:t>
      </w:r>
    </w:p>
    <w:p>
      <w:pPr>
        <w:pStyle w:val="TextBody"/>
        <w:bidi w:val="0"/>
        <w:ind w:left="0" w:right="0" w:hanging="270"/>
        <w:jc w:val="left"/>
      </w:pPr>
      <w:r/>
    </w:p>
    <w:p>
      <w:pPr>
        <w:pStyle w:val="TextBody"/>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5209</Words>
  <Characters>28565</Characters>
  <CharactersWithSpaces>33018</CharactersWithSpaces>
  <Paragraphs>1229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