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b w:val="1"/>
          <w:bCs w:val="1"/>
          <w:color w:val="auto"/>
        </w:rPr>
        <w:t>UNITED STATES</w:t>
      </w:r>
    </w:p>
    <w:p>
      <w:pPr>
        <w:ind w:left="3680"/>
        <w:spacing w:after="0" w:line="237"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line="219" w:lineRule="auto"/>
        <w:rPr>
          <w:sz w:val="20"/>
          <w:szCs w:val="20"/>
          <w:color w:val="auto"/>
        </w:rPr>
      </w:pPr>
      <w:r>
        <w:rPr>
          <w:rFonts w:ascii="Arial" w:cs="Arial" w:eastAsia="Arial" w:hAnsi="Arial"/>
          <w:sz w:val="18"/>
          <w:szCs w:val="18"/>
          <w:b w:val="1"/>
          <w:bCs w:val="1"/>
          <w:color w:val="auto"/>
        </w:rPr>
        <w:t>Washington, D.C. 20549</w:t>
      </w:r>
    </w:p>
    <w:p>
      <w:pPr>
        <w:ind w:left="3160"/>
        <w:spacing w:after="0" w:line="203" w:lineRule="auto"/>
        <w:rPr>
          <w:sz w:val="20"/>
          <w:szCs w:val="20"/>
          <w:color w:val="auto"/>
        </w:rPr>
      </w:pPr>
      <w:r>
        <w:rPr>
          <w:rFonts w:ascii="Arial" w:cs="Arial" w:eastAsia="Arial" w:hAnsi="Arial"/>
          <w:sz w:val="18"/>
          <w:szCs w:val="18"/>
          <w:b w:val="1"/>
          <w:bCs w:val="1"/>
          <w:color w:val="auto"/>
        </w:rPr>
        <w:t>_______________________________________________________</w:t>
      </w:r>
    </w:p>
    <w:p>
      <w:pPr>
        <w:jc w:val="center"/>
        <w:spacing w:after="0" w:line="188" w:lineRule="auto"/>
        <w:rPr>
          <w:sz w:val="20"/>
          <w:szCs w:val="20"/>
          <w:color w:val="auto"/>
        </w:rPr>
      </w:pPr>
      <w:r>
        <w:rPr>
          <w:rFonts w:ascii="Arial" w:cs="Arial" w:eastAsia="Arial" w:hAnsi="Arial"/>
          <w:sz w:val="15"/>
          <w:szCs w:val="15"/>
          <w:b w:val="1"/>
          <w:bCs w:val="1"/>
          <w:color w:val="auto"/>
        </w:rPr>
        <w:t>FORM 10-Q</w:t>
      </w:r>
    </w:p>
    <w:p>
      <w:pPr>
        <w:ind w:left="3160"/>
        <w:spacing w:after="0" w:line="222" w:lineRule="auto"/>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3" w:lineRule="exact"/>
        <w:rPr>
          <w:sz w:val="24"/>
          <w:szCs w:val="24"/>
          <w:color w:val="auto"/>
        </w:rPr>
      </w:pPr>
    </w:p>
    <w:p>
      <w:pPr>
        <w:ind w:left="280" w:hanging="254"/>
        <w:spacing w:after="0"/>
        <w:tabs>
          <w:tab w:leader="none" w:pos="2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0" w:lineRule="exact"/>
        <w:rPr>
          <w:sz w:val="24"/>
          <w:szCs w:val="24"/>
          <w:color w:val="auto"/>
        </w:rPr>
      </w:pPr>
    </w:p>
    <w:p>
      <w:pPr>
        <w:ind w:left="280" w:hanging="254"/>
        <w:spacing w:after="0"/>
        <w:tabs>
          <w:tab w:leader="none" w:pos="2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001-40470</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5715</wp:posOffset>
            </wp:positionV>
            <wp:extent cx="9258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____________________________________________________________________________________________________________</w:t>
      </w:r>
    </w:p>
    <w:p>
      <w:pPr>
        <w:spacing w:after="0" w:line="43" w:lineRule="exact"/>
        <w:rPr>
          <w:sz w:val="24"/>
          <w:szCs w:val="24"/>
          <w:color w:val="auto"/>
        </w:rPr>
      </w:pPr>
    </w:p>
    <w:tbl>
      <w:tblPr>
        <w:tblLayout w:type="fixed"/>
        <w:tblInd w:w="640" w:type="dxa"/>
        <w:tblCellMar>
          <w:top w:w="0" w:type="dxa"/>
          <w:left w:w="0" w:type="dxa"/>
          <w:bottom w:w="0" w:type="dxa"/>
          <w:right w:w="0" w:type="dxa"/>
        </w:tblCellMar>
      </w:tblPr>
      <w:tr>
        <w:trPr>
          <w:trHeight w:val="233"/>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740" w:type="dxa"/>
            <w:vAlign w:val="bottom"/>
          </w:tcPr>
          <w:p>
            <w:pPr>
              <w:jc w:val="right"/>
              <w:ind w:right="770"/>
              <w:spacing w:after="0"/>
              <w:rPr>
                <w:sz w:val="20"/>
                <w:szCs w:val="20"/>
                <w:color w:val="auto"/>
              </w:rPr>
            </w:pPr>
            <w:r>
              <w:rPr>
                <w:rFonts w:ascii="Arial" w:cs="Arial" w:eastAsia="Arial" w:hAnsi="Arial"/>
                <w:sz w:val="18"/>
                <w:szCs w:val="18"/>
                <w:b w:val="1"/>
                <w:bCs w:val="1"/>
                <w:color w:val="auto"/>
              </w:rPr>
              <w:t>86-2098312</w:t>
            </w:r>
          </w:p>
        </w:tc>
      </w:tr>
      <w:tr>
        <w:trPr>
          <w:trHeight w:val="226"/>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40" w:type="dxa"/>
            <w:vAlign w:val="bottom"/>
          </w:tcPr>
          <w:p>
            <w:pPr>
              <w:jc w:val="center"/>
              <w:ind w:left="2050"/>
              <w:spacing w:after="0"/>
              <w:rPr>
                <w:sz w:val="20"/>
                <w:szCs w:val="20"/>
                <w:color w:val="auto"/>
              </w:rPr>
            </w:pPr>
            <w:r>
              <w:rPr>
                <w:rFonts w:ascii="Arial" w:cs="Arial" w:eastAsia="Arial" w:hAnsi="Arial"/>
                <w:sz w:val="18"/>
                <w:szCs w:val="18"/>
                <w:color w:val="auto"/>
                <w:w w:val="93"/>
              </w:rPr>
              <w:t>(I.R.S. Employer Identification No.)</w:t>
            </w:r>
          </w:p>
        </w:tc>
      </w:tr>
      <w:tr>
        <w:trPr>
          <w:trHeight w:val="229"/>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Two American Lane</w:t>
            </w:r>
          </w:p>
        </w:tc>
        <w:tc>
          <w:tcPr>
            <w:tcW w:w="4740" w:type="dxa"/>
            <w:vAlign w:val="bottom"/>
          </w:tcPr>
          <w:p>
            <w:pPr>
              <w:spacing w:after="0"/>
              <w:rPr>
                <w:sz w:val="19"/>
                <w:szCs w:val="19"/>
                <w:color w:val="auto"/>
              </w:rPr>
            </w:pPr>
          </w:p>
        </w:tc>
      </w:tr>
      <w:tr>
        <w:trPr>
          <w:trHeight w:val="234"/>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Greenwich, Connecticut</w:t>
            </w:r>
          </w:p>
        </w:tc>
        <w:tc>
          <w:tcPr>
            <w:tcW w:w="4740" w:type="dxa"/>
            <w:vAlign w:val="bottom"/>
          </w:tcPr>
          <w:p>
            <w:pPr>
              <w:jc w:val="right"/>
              <w:ind w:right="990"/>
              <w:spacing w:after="0"/>
              <w:rPr>
                <w:sz w:val="20"/>
                <w:szCs w:val="20"/>
                <w:color w:val="auto"/>
              </w:rPr>
            </w:pPr>
            <w:r>
              <w:rPr>
                <w:rFonts w:ascii="Arial" w:cs="Arial" w:eastAsia="Arial" w:hAnsi="Arial"/>
                <w:sz w:val="18"/>
                <w:szCs w:val="18"/>
                <w:b w:val="1"/>
                <w:bCs w:val="1"/>
                <w:color w:val="auto"/>
              </w:rPr>
              <w:t>06831</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40" w:type="dxa"/>
            <w:vAlign w:val="bottom"/>
          </w:tcPr>
          <w:p>
            <w:pPr>
              <w:jc w:val="center"/>
              <w:ind w:left="2050"/>
              <w:spacing w:after="0"/>
              <w:rPr>
                <w:sz w:val="20"/>
                <w:szCs w:val="20"/>
                <w:color w:val="auto"/>
              </w:rPr>
            </w:pPr>
            <w:r>
              <w:rPr>
                <w:rFonts w:ascii="Arial" w:cs="Arial" w:eastAsia="Arial" w:hAnsi="Arial"/>
                <w:sz w:val="18"/>
                <w:szCs w:val="18"/>
                <w:color w:val="auto"/>
                <w:w w:val="94"/>
              </w:rPr>
              <w:t>(Zip Code)</w:t>
            </w:r>
          </w:p>
        </w:tc>
      </w:tr>
      <w:tr>
        <w:trPr>
          <w:trHeight w:val="297"/>
        </w:trPr>
        <w:tc>
          <w:tcPr>
            <w:tcW w:w="4360" w:type="dxa"/>
            <w:vAlign w:val="bottom"/>
          </w:tcPr>
          <w:p>
            <w:pPr>
              <w:spacing w:after="0"/>
              <w:rPr>
                <w:sz w:val="24"/>
                <w:szCs w:val="24"/>
                <w:color w:val="auto"/>
              </w:rPr>
            </w:pPr>
          </w:p>
        </w:tc>
        <w:tc>
          <w:tcPr>
            <w:tcW w:w="4740" w:type="dxa"/>
            <w:vAlign w:val="bottom"/>
          </w:tcPr>
          <w:p>
            <w:pPr>
              <w:jc w:val="right"/>
              <w:ind w:right="3470"/>
              <w:spacing w:after="0"/>
              <w:rPr>
                <w:sz w:val="20"/>
                <w:szCs w:val="20"/>
                <w:color w:val="auto"/>
              </w:rPr>
            </w:pPr>
            <w:r>
              <w:rPr>
                <w:rFonts w:ascii="Arial" w:cs="Arial" w:eastAsia="Arial" w:hAnsi="Arial"/>
                <w:sz w:val="18"/>
                <w:szCs w:val="18"/>
                <w:b w:val="1"/>
                <w:bCs w:val="1"/>
                <w:color w:val="auto"/>
                <w:w w:val="94"/>
              </w:rPr>
              <w:t>(203) 489-1287</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360" w:type="dxa"/>
            <w:vAlign w:val="bottom"/>
            <w:gridSpan w:val="2"/>
          </w:tcPr>
          <w:p>
            <w:pPr>
              <w:ind w:left="1620"/>
              <w:spacing w:after="0"/>
              <w:rPr>
                <w:sz w:val="20"/>
                <w:szCs w:val="20"/>
                <w:color w:val="auto"/>
              </w:rPr>
            </w:pPr>
            <w:r>
              <w:rPr>
                <w:rFonts w:ascii="Arial" w:cs="Arial" w:eastAsia="Arial" w:hAnsi="Arial"/>
                <w:sz w:val="14"/>
                <w:szCs w:val="14"/>
                <w:color w:val="auto"/>
              </w:rPr>
              <w:t>Title of each class</w:t>
            </w:r>
          </w:p>
        </w:tc>
        <w:tc>
          <w:tcPr>
            <w:tcW w:w="258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Trading Symbol(s)</w:t>
            </w:r>
          </w:p>
        </w:tc>
        <w:tc>
          <w:tcPr>
            <w:tcW w:w="430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5"/>
        </w:trPr>
        <w:tc>
          <w:tcPr>
            <w:tcW w:w="4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180"/>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Common stock, par value $0.01 per share</w:t>
            </w:r>
          </w:p>
        </w:tc>
        <w:tc>
          <w:tcPr>
            <w:tcW w:w="8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rPr>
              <w:t>GXO</w:t>
            </w:r>
          </w:p>
        </w:tc>
        <w:tc>
          <w:tcPr>
            <w:tcW w:w="80" w:type="dxa"/>
            <w:vAlign w:val="bottom"/>
          </w:tcPr>
          <w:p>
            <w:pPr>
              <w:spacing w:after="0"/>
              <w:rPr>
                <w:sz w:val="15"/>
                <w:szCs w:val="15"/>
                <w:color w:val="auto"/>
              </w:rPr>
            </w:pPr>
          </w:p>
        </w:tc>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bl>
    <w:p>
      <w:pPr>
        <w:spacing w:after="0" w:line="33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560" w:type="dxa"/>
        <w:tblCellMar>
          <w:top w:w="0" w:type="dxa"/>
          <w:left w:w="0" w:type="dxa"/>
          <w:bottom w:w="0" w:type="dxa"/>
          <w:right w:w="0" w:type="dxa"/>
        </w:tblCellMar>
      </w:tblPr>
      <w:tr>
        <w:trPr>
          <w:trHeight w:val="277"/>
        </w:trPr>
        <w:tc>
          <w:tcPr>
            <w:tcW w:w="2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40" w:type="dxa"/>
            <w:vAlign w:val="bottom"/>
          </w:tcPr>
          <w:p>
            <w:pPr>
              <w:ind w:left="260"/>
              <w:spacing w:after="0"/>
              <w:rPr>
                <w:sz w:val="20"/>
                <w:szCs w:val="20"/>
                <w:color w:val="auto"/>
              </w:rPr>
            </w:pPr>
            <w:r>
              <w:rPr>
                <w:rFonts w:ascii="Arial" w:cs="Arial" w:eastAsia="Arial" w:hAnsi="Arial"/>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7, 2022, there were 118,638,739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40" w:type="dxa"/>
            <w:vAlign w:val="bottom"/>
            <w:gridSpan w:val="3"/>
          </w:tcPr>
          <w:p>
            <w:pPr>
              <w:ind w:left="1740"/>
              <w:spacing w:after="0"/>
              <w:rPr>
                <w:sz w:val="20"/>
                <w:szCs w:val="20"/>
                <w:color w:val="auto"/>
              </w:rPr>
            </w:pPr>
            <w:r>
              <w:rPr>
                <w:rFonts w:ascii="Arial" w:cs="Arial" w:eastAsia="Arial" w:hAnsi="Arial"/>
                <w:sz w:val="14"/>
                <w:szCs w:val="14"/>
                <w:b w:val="1"/>
                <w:bCs w:val="1"/>
                <w:color w:val="auto"/>
                <w:w w:val="83"/>
              </w:rPr>
              <w:t>Page</w:t>
            </w:r>
          </w:p>
        </w:tc>
      </w:tr>
      <w:tr>
        <w:trPr>
          <w:trHeight w:val="205"/>
        </w:trPr>
        <w:tc>
          <w:tcPr>
            <w:tcW w:w="8980" w:type="dxa"/>
            <w:vAlign w:val="bottom"/>
            <w:gridSpan w:val="19"/>
          </w:tcPr>
          <w:p>
            <w:pPr>
              <w:spacing w:after="0" w:line="206" w:lineRule="exact"/>
              <w:rPr>
                <w:sz w:val="20"/>
                <w:szCs w:val="20"/>
                <w:color w:val="auto"/>
              </w:rPr>
            </w:pPr>
            <w:r>
              <w:rPr>
                <w:rFonts w:ascii="Arial" w:cs="Arial" w:eastAsia="Arial" w:hAnsi="Arial"/>
                <w:sz w:val="18"/>
                <w:szCs w:val="18"/>
                <w:b w:val="1"/>
                <w:bCs w:val="1"/>
                <w:color w:val="3051F2"/>
              </w:rPr>
              <w:t>Part I—Financial Information</w:t>
            </w: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940" w:type="dxa"/>
            <w:vAlign w:val="bottom"/>
            <w:gridSpan w:val="2"/>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9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0"/>
              </w:rPr>
              <w:t>Item 1. Financial Statements (Unaudited)</w:t>
            </w:r>
          </w:p>
        </w:tc>
        <w:tc>
          <w:tcPr>
            <w:tcW w:w="5780" w:type="dxa"/>
            <w:vAlign w:val="bottom"/>
            <w:gridSpan w:val="9"/>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2</w:t>
            </w: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4880" w:type="dxa"/>
            <w:vAlign w:val="bottom"/>
            <w:gridSpan w:val="7"/>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2</w:t>
            </w: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1980" w:type="dxa"/>
            <w:vAlign w:val="bottom"/>
            <w:gridSpan w:val="2"/>
          </w:tcPr>
          <w:p>
            <w:pPr>
              <w:jc w:val="center"/>
              <w:ind w:left="1712"/>
              <w:spacing w:after="0"/>
              <w:rPr>
                <w:sz w:val="20"/>
                <w:szCs w:val="20"/>
                <w:color w:val="auto"/>
              </w:rPr>
            </w:pPr>
            <w:r>
              <w:rPr>
                <w:rFonts w:ascii="Arial" w:cs="Arial" w:eastAsia="Arial" w:hAnsi="Arial"/>
                <w:sz w:val="18"/>
                <w:szCs w:val="18"/>
                <w:color w:val="0000FF"/>
                <w:w w:val="99"/>
              </w:rPr>
              <w:t>3</w:t>
            </w:r>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7"/>
              </w:rPr>
              <w:t>Condensed Consolidated Balance Sheets</w:t>
            </w:r>
          </w:p>
        </w:tc>
        <w:tc>
          <w:tcPr>
            <w:tcW w:w="1640" w:type="dxa"/>
            <w:vAlign w:val="bottom"/>
            <w:tcBorders>
              <w:top w:val="single" w:sz="8" w:color="0000FF"/>
            </w:tcBorders>
            <w:gridSpan w:val="5"/>
          </w:tcPr>
          <w:p>
            <w:pPr>
              <w:spacing w:after="0"/>
              <w:rPr>
                <w:sz w:val="18"/>
                <w:szCs w:val="18"/>
                <w:color w:val="auto"/>
              </w:rPr>
            </w:pPr>
          </w:p>
        </w:tc>
        <w:tc>
          <w:tcPr>
            <w:tcW w:w="3960" w:type="dxa"/>
            <w:vAlign w:val="bottom"/>
            <w:gridSpan w:val="3"/>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4820" w:type="dxa"/>
            <w:vAlign w:val="bottom"/>
            <w:gridSpan w:val="6"/>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Condensed Consolidated Statements of Changes in Equity</w:t>
            </w:r>
          </w:p>
        </w:tc>
        <w:tc>
          <w:tcPr>
            <w:tcW w:w="4340" w:type="dxa"/>
            <w:vAlign w:val="bottom"/>
            <w:gridSpan w:val="4"/>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540" w:type="dxa"/>
            <w:vAlign w:val="bottom"/>
            <w:gridSpan w:val="5"/>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8</w:t>
            </w: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7020" w:type="dxa"/>
            <w:vAlign w:val="bottom"/>
            <w:gridSpan w:val="17"/>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1740" w:type="dxa"/>
            <w:vAlign w:val="bottom"/>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Arial" w:cs="Arial" w:eastAsia="Arial" w:hAnsi="Arial"/>
                <w:sz w:val="18"/>
                <w:szCs w:val="18"/>
                <w:color w:val="0000FF"/>
                <w:w w:val="89"/>
              </w:rPr>
              <w:t>22</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4900" w:type="dxa"/>
            <w:vAlign w:val="bottom"/>
            <w:gridSpan w:val="16"/>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Arial" w:cs="Arial" w:eastAsia="Arial" w:hAnsi="Arial"/>
                <w:sz w:val="18"/>
                <w:szCs w:val="18"/>
                <w:color w:val="0000FF"/>
                <w:w w:val="89"/>
              </w:rPr>
              <w:t>30</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4.</w:t>
            </w:r>
          </w:p>
        </w:tc>
        <w:tc>
          <w:tcPr>
            <w:tcW w:w="4360" w:type="dxa"/>
            <w:vAlign w:val="bottom"/>
            <w:gridSpan w:val="14"/>
          </w:tcPr>
          <w:p>
            <w:pPr>
              <w:ind w:left="20"/>
              <w:spacing w:after="0"/>
              <w:rPr>
                <w:sz w:val="20"/>
                <w:szCs w:val="20"/>
                <w:color w:val="auto"/>
              </w:rPr>
            </w:pPr>
            <w:r>
              <w:rPr>
                <w:rFonts w:ascii="Arial" w:cs="Arial" w:eastAsia="Arial" w:hAnsi="Arial"/>
                <w:sz w:val="18"/>
                <w:szCs w:val="18"/>
                <w:color w:val="0000FF"/>
              </w:rPr>
              <w:t>Controls and Procedures</w:t>
            </w:r>
          </w:p>
        </w:tc>
        <w:tc>
          <w:tcPr>
            <w:tcW w:w="3860" w:type="dxa"/>
            <w:vAlign w:val="bottom"/>
            <w:gridSpan w:val="2"/>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Arial" w:cs="Arial" w:eastAsia="Arial" w:hAnsi="Arial"/>
                <w:sz w:val="18"/>
                <w:szCs w:val="18"/>
                <w:color w:val="0000FF"/>
                <w:w w:val="89"/>
              </w:rPr>
              <w:t>30</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160" w:type="dxa"/>
            <w:vAlign w:val="bottom"/>
            <w:tcBorders>
              <w:bottom w:val="single" w:sz="8" w:color="3051F2"/>
            </w:tcBorders>
            <w:gridSpan w:val="7"/>
          </w:tcPr>
          <w:p>
            <w:pPr>
              <w:spacing w:after="0"/>
              <w:rPr>
                <w:sz w:val="20"/>
                <w:szCs w:val="20"/>
                <w:color w:val="auto"/>
              </w:rPr>
            </w:pPr>
            <w:r>
              <w:rPr>
                <w:rFonts w:ascii="Arial" w:cs="Arial" w:eastAsia="Arial" w:hAnsi="Arial"/>
                <w:sz w:val="18"/>
                <w:szCs w:val="18"/>
                <w:b w:val="1"/>
                <w:bCs w:val="1"/>
                <w:color w:val="3051F2"/>
                <w:w w:val="97"/>
              </w:rPr>
              <w:t>Part II—Other Information</w:t>
            </w:r>
          </w:p>
        </w:tc>
        <w:tc>
          <w:tcPr>
            <w:tcW w:w="6820" w:type="dxa"/>
            <w:vAlign w:val="bottom"/>
            <w:gridSpan w:val="12"/>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1.</w:t>
            </w:r>
          </w:p>
        </w:tc>
        <w:tc>
          <w:tcPr>
            <w:tcW w:w="1360" w:type="dxa"/>
            <w:vAlign w:val="bottom"/>
            <w:gridSpan w:val="3"/>
          </w:tcPr>
          <w:p>
            <w:pPr>
              <w:ind w:left="20"/>
              <w:spacing w:after="0"/>
              <w:rPr>
                <w:sz w:val="20"/>
                <w:szCs w:val="20"/>
                <w:color w:val="auto"/>
              </w:rPr>
            </w:pPr>
            <w:r>
              <w:rPr>
                <w:rFonts w:ascii="Arial" w:cs="Arial" w:eastAsia="Arial" w:hAnsi="Arial"/>
                <w:sz w:val="18"/>
                <w:szCs w:val="18"/>
                <w:color w:val="0000FF"/>
                <w:w w:val="88"/>
              </w:rPr>
              <w:t>Legal Proceedings</w:t>
            </w:r>
          </w:p>
        </w:tc>
        <w:tc>
          <w:tcPr>
            <w:tcW w:w="6860" w:type="dxa"/>
            <w:vAlign w:val="bottom"/>
            <w:gridSpan w:val="13"/>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Arial" w:cs="Arial" w:eastAsia="Arial" w:hAnsi="Arial"/>
                <w:sz w:val="18"/>
                <w:szCs w:val="18"/>
                <w:color w:val="0000FF"/>
                <w:w w:val="89"/>
              </w:rPr>
              <w:t>32</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0000FF"/>
                <w:w w:val="91"/>
              </w:rPr>
              <w:t>Item 1A. Risk Factors</w:t>
            </w:r>
          </w:p>
        </w:tc>
        <w:tc>
          <w:tcPr>
            <w:tcW w:w="300" w:type="dxa"/>
            <w:vAlign w:val="bottom"/>
          </w:tcPr>
          <w:p>
            <w:pPr>
              <w:spacing w:after="0"/>
              <w:rPr>
                <w:sz w:val="18"/>
                <w:szCs w:val="18"/>
                <w:color w:val="auto"/>
              </w:rPr>
            </w:pPr>
          </w:p>
        </w:tc>
        <w:tc>
          <w:tcPr>
            <w:tcW w:w="6860" w:type="dxa"/>
            <w:vAlign w:val="bottom"/>
            <w:gridSpan w:val="13"/>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Arial" w:cs="Arial" w:eastAsia="Arial" w:hAnsi="Arial"/>
                <w:sz w:val="18"/>
                <w:szCs w:val="18"/>
                <w:color w:val="0000FF"/>
                <w:w w:val="89"/>
              </w:rPr>
              <w:t>32</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00" w:type="dxa"/>
            <w:vAlign w:val="bottom"/>
            <w:gridSpan w:val="1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2.</w:t>
            </w:r>
          </w:p>
        </w:tc>
        <w:tc>
          <w:tcPr>
            <w:tcW w:w="8220" w:type="dxa"/>
            <w:vAlign w:val="bottom"/>
            <w:gridSpan w:val="16"/>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1980" w:type="dxa"/>
            <w:vAlign w:val="bottom"/>
            <w:gridSpan w:val="2"/>
          </w:tcPr>
          <w:p>
            <w:pPr>
              <w:jc w:val="center"/>
              <w:ind w:left="1712"/>
              <w:spacing w:after="0"/>
              <w:rPr>
                <w:sz w:val="20"/>
                <w:szCs w:val="20"/>
                <w:color w:val="auto"/>
              </w:rPr>
            </w:pPr>
            <w:r>
              <w:rPr>
                <w:rFonts w:ascii="Arial" w:cs="Arial" w:eastAsia="Arial" w:hAnsi="Arial"/>
                <w:sz w:val="18"/>
                <w:szCs w:val="18"/>
                <w:color w:val="0000FF"/>
                <w:w w:val="89"/>
              </w:rPr>
              <w:t>32</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740" w:type="dxa"/>
            <w:vAlign w:val="bottom"/>
            <w:gridSpan w:val="13"/>
            <w:shd w:val="clear" w:color="auto" w:fill="0000FF"/>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620" w:type="dxa"/>
            <w:vAlign w:val="bottom"/>
          </w:tcPr>
          <w:p>
            <w:pPr>
              <w:ind w:left="20"/>
              <w:spacing w:after="0"/>
              <w:rPr>
                <w:sz w:val="20"/>
                <w:szCs w:val="20"/>
                <w:color w:val="auto"/>
              </w:rPr>
            </w:pPr>
            <w:r>
              <w:rPr>
                <w:rFonts w:ascii="Arial" w:cs="Arial" w:eastAsia="Arial" w:hAnsi="Arial"/>
                <w:sz w:val="18"/>
                <w:szCs w:val="18"/>
                <w:color w:val="0000FF"/>
                <w:w w:val="91"/>
              </w:rPr>
              <w:t>Exhibits</w:t>
            </w:r>
          </w:p>
        </w:tc>
        <w:tc>
          <w:tcPr>
            <w:tcW w:w="3740" w:type="dxa"/>
            <w:vAlign w:val="bottom"/>
            <w:gridSpan w:val="13"/>
          </w:tcPr>
          <w:p>
            <w:pPr>
              <w:spacing w:after="0"/>
              <w:rPr>
                <w:sz w:val="18"/>
                <w:szCs w:val="18"/>
                <w:color w:val="auto"/>
              </w:rPr>
            </w:pPr>
          </w:p>
        </w:tc>
        <w:tc>
          <w:tcPr>
            <w:tcW w:w="3860" w:type="dxa"/>
            <w:vAlign w:val="bottom"/>
            <w:gridSpan w:val="2"/>
          </w:tcPr>
          <w:p>
            <w:pPr>
              <w:spacing w:after="0"/>
              <w:rPr>
                <w:sz w:val="18"/>
                <w:szCs w:val="18"/>
                <w:color w:val="auto"/>
              </w:rPr>
            </w:pPr>
          </w:p>
        </w:tc>
        <w:tc>
          <w:tcPr>
            <w:tcW w:w="1980" w:type="dxa"/>
            <w:vAlign w:val="bottom"/>
            <w:gridSpan w:val="2"/>
          </w:tcPr>
          <w:p>
            <w:pPr>
              <w:jc w:val="center"/>
              <w:ind w:left="1712"/>
              <w:spacing w:after="0"/>
              <w:rPr>
                <w:sz w:val="20"/>
                <w:szCs w:val="20"/>
                <w:color w:val="auto"/>
              </w:rPr>
            </w:pPr>
            <w:r>
              <w:rPr>
                <w:rFonts w:ascii="Arial" w:cs="Arial" w:eastAsia="Arial" w:hAnsi="Arial"/>
                <w:sz w:val="18"/>
                <w:szCs w:val="18"/>
                <w:color w:val="0000FF"/>
                <w:w w:val="89"/>
              </w:rPr>
              <w:t>33</w:t>
            </w:r>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98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980" w:type="dxa"/>
            <w:vAlign w:val="bottom"/>
            <w:gridSpan w:val="2"/>
          </w:tcPr>
          <w:p>
            <w:pPr>
              <w:jc w:val="center"/>
              <w:ind w:left="1712"/>
              <w:spacing w:after="0"/>
              <w:rPr>
                <w:sz w:val="20"/>
                <w:szCs w:val="20"/>
                <w:color w:val="auto"/>
              </w:rPr>
            </w:pPr>
            <w:r>
              <w:rPr>
                <w:rFonts w:ascii="Arial" w:cs="Arial" w:eastAsia="Arial" w:hAnsi="Arial"/>
                <w:sz w:val="18"/>
                <w:szCs w:val="18"/>
                <w:color w:val="0000FF"/>
                <w:w w:val="89"/>
              </w:rPr>
              <w:t>34</w:t>
            </w:r>
          </w:p>
        </w:tc>
        <w:tc>
          <w:tcPr>
            <w:tcW w:w="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280" w:type="dxa"/>
            <w:vAlign w:val="bottom"/>
          </w:tcPr>
          <w:p>
            <w:pPr>
              <w:spacing w:after="0"/>
              <w:rPr>
                <w:sz w:val="18"/>
                <w:szCs w:val="18"/>
                <w:color w:val="auto"/>
              </w:rPr>
            </w:pPr>
          </w:p>
        </w:tc>
        <w:tc>
          <w:tcPr>
            <w:tcW w:w="22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5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5,678</w:t>
            </w:r>
          </w:p>
        </w:tc>
      </w:tr>
      <w:tr>
        <w:trPr>
          <w:trHeight w:val="213"/>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Direct operating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4,725</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3"/>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Restructuring costs and other</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6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Other income,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6"/>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income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6"/>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attributable to GXO</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0"/>
        </w:trPr>
        <w:tc>
          <w:tcPr>
            <w:tcW w:w="5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 per share data</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r>
      <w:tr>
        <w:trPr>
          <w:trHeight w:val="213"/>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0.84</w:t>
            </w:r>
          </w:p>
        </w:tc>
      </w:tr>
      <w:tr>
        <w:trPr>
          <w:trHeight w:val="273"/>
        </w:trPr>
        <w:tc>
          <w:tcPr>
            <w:tcW w:w="5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114,627</w:t>
            </w:r>
          </w:p>
        </w:tc>
      </w:tr>
      <w:tr>
        <w:trPr>
          <w:trHeight w:val="210"/>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119,065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115,529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115,527</w:t>
            </w:r>
          </w:p>
        </w:tc>
      </w:tr>
    </w:tbl>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6" w:lineRule="exact"/>
        <w:rPr>
          <w:sz w:val="20"/>
          <w:szCs w:val="20"/>
          <w:color w:val="auto"/>
        </w:rPr>
      </w:pPr>
    </w:p>
    <w:p>
      <w:pPr>
        <w:ind w:left="400" w:hanging="161"/>
        <w:spacing w:after="0"/>
        <w:rPr>
          <w:sz w:val="20"/>
          <w:szCs w:val="20"/>
          <w:color w:val="auto"/>
        </w:rPr>
      </w:pPr>
      <w:r>
        <w:rPr>
          <w:rFonts w:ascii="Arial" w:cs="Arial" w:eastAsia="Arial" w:hAnsi="Arial"/>
          <w:sz w:val="16"/>
          <w:szCs w:val="16"/>
          <w:color w:val="auto"/>
        </w:rPr>
        <w:t>Foreign currency translation loss, net of tax (expense) benefit of $(22), $(4), $(32) and $(2), respectively</w:t>
      </w:r>
    </w:p>
    <w:p>
      <w:pPr>
        <w:spacing w:after="0" w:line="10" w:lineRule="exact"/>
        <w:rPr>
          <w:sz w:val="20"/>
          <w:szCs w:val="20"/>
          <w:color w:val="auto"/>
        </w:rPr>
      </w:pPr>
    </w:p>
    <w:p>
      <w:pPr>
        <w:ind w:left="400" w:right="100" w:hanging="161"/>
        <w:spacing w:after="0"/>
        <w:rPr>
          <w:sz w:val="20"/>
          <w:szCs w:val="20"/>
          <w:color w:val="auto"/>
        </w:rPr>
      </w:pPr>
      <w:r>
        <w:rPr>
          <w:rFonts w:ascii="Arial" w:cs="Arial" w:eastAsia="Arial" w:hAnsi="Arial"/>
          <w:sz w:val="16"/>
          <w:szCs w:val="16"/>
          <w:color w:val="auto"/>
        </w:rPr>
        <w:t>Unrealized gain (loss) on cash flow hedges, net of tax (expense) benefit of $(2), $—, $(2) and $(1),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1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21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09"/>
        </w:trPr>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73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490"/>
        </w:trPr>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4"/>
                <w:szCs w:val="24"/>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center"/>
              <w:spacing w:after="0"/>
              <w:rPr>
                <w:sz w:val="20"/>
                <w:szCs w:val="20"/>
                <w:color w:val="auto"/>
              </w:rPr>
            </w:pPr>
            <w:r>
              <w:rPr>
                <w:rFonts w:ascii="Arial" w:cs="Arial" w:eastAsia="Arial" w:hAnsi="Arial"/>
                <w:sz w:val="16"/>
                <w:szCs w:val="16"/>
                <w:color w:val="auto"/>
                <w:w w:val="91"/>
              </w:rPr>
              <w:t>(12)</w:t>
            </w:r>
          </w:p>
        </w:tc>
        <w:tc>
          <w:tcPr>
            <w:tcW w:w="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78"/>
        </w:trPr>
        <w:tc>
          <w:tcPr>
            <w:tcW w:w="8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81" w:lineRule="exact"/>
        <w:rPr>
          <w:sz w:val="20"/>
          <w:szCs w:val="20"/>
          <w:color w:val="auto"/>
        </w:rPr>
      </w:pPr>
    </w:p>
    <w:p>
      <w:pPr>
        <w:sectPr>
          <w:pgSz w:w="11900" w:h="16838" w:orient="portrait"/>
          <w:cols w:equalWidth="0" w:num="2">
            <w:col w:w="5840" w:space="300"/>
            <w:col w:w="510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loss, net of tax</w:t>
            </w: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7"/>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w:t>
            </w: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attributable to GXO</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3"/>
        </w:trPr>
        <w:tc>
          <w:tcPr>
            <w:tcW w:w="6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738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 of allowances of $9 and $13, respectively</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1,507</w:t>
            </w:r>
          </w:p>
        </w:tc>
      </w:tr>
      <w:tr>
        <w:trPr>
          <w:trHeight w:val="219"/>
        </w:trPr>
        <w:tc>
          <w:tcPr>
            <w:tcW w:w="7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07"/>
        </w:trPr>
        <w:tc>
          <w:tcPr>
            <w:tcW w:w="738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w:t>
            </w:r>
          </w:p>
        </w:tc>
      </w:tr>
      <w:tr>
        <w:trPr>
          <w:trHeight w:val="19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3"/>
        </w:trPr>
        <w:tc>
          <w:tcPr>
            <w:tcW w:w="7380" w:type="dxa"/>
            <w:vAlign w:val="bottom"/>
            <w:gridSpan w:val="2"/>
          </w:tcPr>
          <w:p>
            <w:pPr>
              <w:ind w:left="240"/>
              <w:spacing w:after="0"/>
              <w:rPr>
                <w:sz w:val="20"/>
                <w:szCs w:val="20"/>
                <w:color w:val="auto"/>
              </w:rPr>
            </w:pPr>
            <w:r>
              <w:rPr>
                <w:rFonts w:ascii="Arial" w:cs="Arial" w:eastAsia="Arial" w:hAnsi="Arial"/>
                <w:sz w:val="16"/>
                <w:szCs w:val="16"/>
                <w:color w:val="auto"/>
              </w:rPr>
              <w:t>Property and equipment, net of $1,196 and $1,128 in accumulated depreciation, respectively</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863</w:t>
            </w:r>
          </w:p>
        </w:tc>
      </w:tr>
      <w:tr>
        <w:trPr>
          <w:trHeight w:val="219"/>
        </w:trPr>
        <w:tc>
          <w:tcPr>
            <w:tcW w:w="73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Operating lease assets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r>
      <w:tr>
        <w:trPr>
          <w:trHeight w:val="213"/>
        </w:trPr>
        <w:tc>
          <w:tcPr>
            <w:tcW w:w="7380" w:type="dxa"/>
            <w:vAlign w:val="bottom"/>
            <w:gridSpan w:val="2"/>
          </w:tcPr>
          <w:p>
            <w:pPr>
              <w:ind w:left="2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2,017</w:t>
            </w:r>
          </w:p>
        </w:tc>
      </w:tr>
      <w:tr>
        <w:trPr>
          <w:trHeight w:val="219"/>
        </w:trPr>
        <w:tc>
          <w:tcPr>
            <w:tcW w:w="73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Intangible assets, net of $418 and $407 in accumulated amortization, respectively</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3"/>
        </w:trPr>
        <w:tc>
          <w:tcPr>
            <w:tcW w:w="73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3"/>
        </w:trPr>
        <w:tc>
          <w:tcPr>
            <w:tcW w:w="738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5,172</w:t>
            </w:r>
          </w:p>
        </w:tc>
      </w:tr>
      <w:tr>
        <w:trPr>
          <w:trHeight w:val="207"/>
        </w:trPr>
        <w:tc>
          <w:tcPr>
            <w:tcW w:w="7380" w:type="dxa"/>
            <w:vAlign w:val="bottom"/>
            <w:gridSpan w:val="2"/>
          </w:tcPr>
          <w:p>
            <w:pPr>
              <w:ind w:left="8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6"/>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13"/>
        </w:trPr>
        <w:tc>
          <w:tcPr>
            <w:tcW w:w="73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73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r>
      <w:tr>
        <w:trPr>
          <w:trHeight w:val="213"/>
        </w:trPr>
        <w:tc>
          <w:tcPr>
            <w:tcW w:w="7380" w:type="dxa"/>
            <w:vAlign w:val="bottom"/>
            <w:gridSpan w:val="2"/>
          </w:tcPr>
          <w:p>
            <w:pPr>
              <w:ind w:left="26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998</w:t>
            </w:r>
          </w:p>
        </w:tc>
      </w:tr>
      <w:tr>
        <w:trPr>
          <w:trHeight w:val="219"/>
        </w:trPr>
        <w:tc>
          <w:tcPr>
            <w:tcW w:w="73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Short-term borrowings and obligations under finance leases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380" w:type="dxa"/>
            <w:vAlign w:val="bottom"/>
            <w:gridSpan w:val="2"/>
          </w:tcPr>
          <w:p>
            <w:pPr>
              <w:ind w:left="26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19"/>
        </w:trPr>
        <w:tc>
          <w:tcPr>
            <w:tcW w:w="73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7"/>
        </w:trPr>
        <w:tc>
          <w:tcPr>
            <w:tcW w:w="738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w:t>
            </w:r>
          </w:p>
        </w:tc>
      </w:tr>
      <w:tr>
        <w:trPr>
          <w:trHeight w:val="199"/>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bl>
    <w:p>
      <w:pPr>
        <w:spacing w:after="0" w:line="4" w:lineRule="exact"/>
        <w:rPr>
          <w:sz w:val="20"/>
          <w:szCs w:val="20"/>
          <w:color w:val="auto"/>
        </w:rPr>
      </w:pPr>
    </w:p>
    <w:p>
      <w:pPr>
        <w:sectPr>
          <w:pgSz w:w="11900" w:h="16838" w:orient="portrait"/>
          <w:cols w:equalWidth="0" w:num="1">
            <w:col w:w="11140"/>
          </w:cols>
          <w:pgMar w:left="380" w:top="1417" w:right="379" w:bottom="1440" w:gutter="0" w:footer="0" w:header="0"/>
        </w:sectPr>
      </w:pPr>
    </w:p>
    <w:p>
      <w:pPr>
        <w:ind w:left="260"/>
        <w:spacing w:after="0"/>
        <w:rPr>
          <w:sz w:val="20"/>
          <w:szCs w:val="20"/>
          <w:color w:val="auto"/>
        </w:rPr>
      </w:pPr>
      <w:r>
        <w:rPr>
          <w:rFonts w:ascii="Arial" w:cs="Arial" w:eastAsia="Arial" w:hAnsi="Arial"/>
          <w:sz w:val="16"/>
          <w:szCs w:val="16"/>
          <w:color w:val="auto"/>
        </w:rPr>
        <w:t>Long-term debt and obligations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07199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Long-term operating lease liabilities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long-term liabilities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Total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07199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Commitments and contingencies (Note 12)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0719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16" w:lineRule="exact"/>
        <w:rPr>
          <w:sz w:val="20"/>
          <w:szCs w:val="20"/>
          <w:color w:val="auto"/>
        </w:rPr>
      </w:pPr>
    </w:p>
    <w:p>
      <w:pPr>
        <w:ind w:left="400" w:right="60" w:hanging="161"/>
        <w:spacing w:after="0" w:line="262" w:lineRule="auto"/>
        <w:rPr>
          <w:sz w:val="20"/>
          <w:szCs w:val="20"/>
          <w:color w:val="auto"/>
        </w:rPr>
      </w:pPr>
      <w:r>
        <w:rPr>
          <w:rFonts w:ascii="Arial" w:cs="Arial" w:eastAsia="Arial" w:hAnsi="Arial"/>
          <w:sz w:val="15"/>
          <w:szCs w:val="15"/>
          <w:color w:val="auto"/>
        </w:rPr>
        <w:t>Common Stock, $0.01 par value per share; 300,000 shares authorized, 118,629 and 114,659 shares issued and outstanding as of September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07199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1995" cy="240030"/>
                    </a:xfrm>
                    <a:prstGeom prst="rect">
                      <a:avLst/>
                    </a:prstGeom>
                    <a:noFill/>
                  </pic:spPr>
                </pic:pic>
              </a:graphicData>
            </a:graphic>
          </wp:anchor>
        </w:drawing>
      </w:r>
    </w:p>
    <w:p>
      <w:pPr>
        <w:ind w:left="400" w:hanging="161"/>
        <w:spacing w:after="0"/>
        <w:rPr>
          <w:sz w:val="20"/>
          <w:szCs w:val="20"/>
          <w:color w:val="auto"/>
        </w:rPr>
      </w:pPr>
      <w:r>
        <w:rPr>
          <w:rFonts w:ascii="Arial" w:cs="Arial" w:eastAsia="Arial" w:hAnsi="Arial"/>
          <w:sz w:val="16"/>
          <w:szCs w:val="16"/>
          <w:color w:val="auto"/>
        </w:rPr>
        <w:t>Preferred Stock, $0.01 par value per share; 10,000 shares authorized, 0 shares issued and outstanding as of September 30, 2022 and December 31, 2021,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80" w:type="dxa"/>
            <w:vAlign w:val="bottom"/>
          </w:tcPr>
          <w:p>
            <w:pPr>
              <w:jc w:val="right"/>
              <w:spacing w:after="0"/>
              <w:rPr>
                <w:sz w:val="20"/>
                <w:szCs w:val="20"/>
                <w:color w:val="auto"/>
              </w:rPr>
            </w:pPr>
            <w:r>
              <w:rPr>
                <w:rFonts w:ascii="Arial" w:cs="Arial" w:eastAsia="Arial" w:hAnsi="Arial"/>
                <w:sz w:val="16"/>
                <w:szCs w:val="16"/>
                <w:color w:val="auto"/>
              </w:rPr>
              <w:t>1,789</w:t>
            </w:r>
          </w:p>
        </w:tc>
        <w:tc>
          <w:tcPr>
            <w:tcW w:w="1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216"/>
        </w:trPr>
        <w:tc>
          <w:tcPr>
            <w:tcW w:w="1880" w:type="dxa"/>
            <w:vAlign w:val="bottom"/>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1,391</w:t>
            </w:r>
          </w:p>
        </w:tc>
      </w:tr>
      <w:tr>
        <w:trPr>
          <w:trHeight w:val="219"/>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10"/>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w:t>
            </w:r>
          </w:p>
        </w:tc>
      </w:tr>
      <w:tr>
        <w:trPr>
          <w:trHeight w:val="706"/>
        </w:trPr>
        <w:tc>
          <w:tcPr>
            <w:tcW w:w="1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78"/>
        </w:trPr>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90" w:lineRule="exact"/>
        <w:rPr>
          <w:sz w:val="20"/>
          <w:szCs w:val="20"/>
          <w:color w:val="auto"/>
        </w:rPr>
      </w:pPr>
    </w:p>
    <w:p>
      <w:pPr>
        <w:sectPr>
          <w:pgSz w:w="11900" w:h="16838" w:orient="portrait"/>
          <w:cols w:equalWidth="0" w:num="2">
            <w:col w:w="7140" w:space="240"/>
            <w:col w:w="3760"/>
          </w:cols>
          <w:pgMar w:left="380" w:top="1417" w:right="37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38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2,354</w:t>
            </w:r>
          </w:p>
        </w:tc>
      </w:tr>
      <w:tr>
        <w:trPr>
          <w:trHeight w:val="219"/>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Retained earnings</w:t>
            </w: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Accumulated other comprehensive loss</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12"/>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stockholders’ equity before noncontrolling interest</w:t>
            </w:r>
          </w:p>
        </w:tc>
        <w:tc>
          <w:tcPr>
            <w:tcW w:w="7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r>
      <w:tr>
        <w:trPr>
          <w:trHeight w:val="206"/>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Noncontrolling interest</w:t>
            </w: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equity</w:t>
            </w:r>
          </w:p>
        </w:tc>
        <w:tc>
          <w:tcPr>
            <w:tcW w:w="7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w:t>
            </w:r>
          </w:p>
        </w:tc>
      </w:tr>
      <w:tr>
        <w:trPr>
          <w:trHeight w:val="206"/>
        </w:trPr>
        <w:tc>
          <w:tcPr>
            <w:tcW w:w="7380" w:type="dxa"/>
            <w:vAlign w:val="bottom"/>
          </w:tcPr>
          <w:p>
            <w:pPr>
              <w:ind w:left="880"/>
              <w:spacing w:after="0"/>
              <w:rPr>
                <w:sz w:val="20"/>
                <w:szCs w:val="20"/>
                <w:color w:val="auto"/>
              </w:rPr>
            </w:pPr>
            <w:r>
              <w:rPr>
                <w:rFonts w:ascii="Arial" w:cs="Arial" w:eastAsia="Arial" w:hAnsi="Arial"/>
                <w:sz w:val="16"/>
                <w:szCs w:val="16"/>
                <w:b w:val="1"/>
                <w:bCs w:val="1"/>
                <w:color w:val="auto"/>
              </w:rPr>
              <w:t>Total liabilities and equity</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8,806</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r>
      <w:tr>
        <w:trPr>
          <w:trHeight w:val="24"/>
        </w:trPr>
        <w:tc>
          <w:tcPr>
            <w:tcW w:w="73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417" w:right="3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 September 30,</w:t>
            </w: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400" w:type="dxa"/>
            <w:vAlign w:val="bottom"/>
          </w:tcPr>
          <w:p>
            <w:pPr>
              <w:spacing w:after="0"/>
              <w:rPr>
                <w:sz w:val="18"/>
                <w:szCs w:val="18"/>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2021</w:t>
            </w:r>
          </w:p>
        </w:tc>
      </w:tr>
      <w:tr>
        <w:trPr>
          <w:trHeight w:val="212"/>
        </w:trPr>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13"/>
        </w:trPr>
        <w:tc>
          <w:tcPr>
            <w:tcW w:w="7400" w:type="dxa"/>
            <w:vAlign w:val="bottom"/>
            <w:gridSpan w:val="2"/>
          </w:tcPr>
          <w:p>
            <w:pPr>
              <w:ind w:left="240"/>
              <w:spacing w:after="0"/>
              <w:rPr>
                <w:sz w:val="20"/>
                <w:szCs w:val="20"/>
                <w:color w:val="auto"/>
              </w:rPr>
            </w:pPr>
            <w:r>
              <w:rPr>
                <w:rFonts w:ascii="Arial" w:cs="Arial" w:eastAsia="Arial" w:hAnsi="Arial"/>
                <w:sz w:val="16"/>
                <w:szCs w:val="16"/>
                <w:b w:val="1"/>
                <w:bCs w:val="1"/>
                <w:color w:val="auto"/>
              </w:rPr>
              <w:t>Net income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Depreciation and amortization expense</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Stock-based compensation expense</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Deferred tax benefit</w:t>
            </w:r>
          </w:p>
        </w:tc>
        <w:tc>
          <w:tcPr>
            <w:tcW w:w="4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Changes in operating assets and liabilities</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Other assets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Accrued expenses and other liabilities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212"/>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193"/>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Proceeds from sales of property and equipment</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Acquisition of businesses, net of cash acquired</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Proceeds from cross-currency swap agreements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19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Proceeds from issuance of debt, net</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Repayment of debt related to securitization transactions and other</w:t>
            </w:r>
          </w:p>
        </w:tc>
        <w:tc>
          <w:tcPr>
            <w:tcW w:w="4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Repayment of debt and finance leases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Purchase of noncontrolling interest</w:t>
            </w:r>
          </w:p>
        </w:tc>
        <w:tc>
          <w:tcPr>
            <w:tcW w:w="4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Net transfers to XPO Logistics, Inc.</w:t>
            </w:r>
          </w:p>
        </w:tc>
        <w:tc>
          <w:tcPr>
            <w:tcW w:w="4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(774)</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Taxes paid related to net share settlement of equity awards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7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07"/>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r>
      <w:tr>
        <w:trPr>
          <w:trHeight w:val="234"/>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7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0"/>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Common stock issued for acquisition</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XPO</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Before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8"/>
              </w:rPr>
              <w:t>Logistics,</w:t>
            </w: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160"/>
              <w:spacing w:after="0" w:line="129" w:lineRule="exact"/>
              <w:rPr>
                <w:sz w:val="20"/>
                <w:szCs w:val="20"/>
                <w:color w:val="auto"/>
              </w:rPr>
            </w:pPr>
            <w:r>
              <w:rPr>
                <w:rFonts w:ascii="Arial" w:cs="Arial" w:eastAsia="Arial" w:hAnsi="Arial"/>
                <w:sz w:val="14"/>
                <w:szCs w:val="14"/>
                <w:b w:val="1"/>
                <w:bCs w:val="1"/>
                <w:color w:val="auto"/>
                <w:w w:val="99"/>
              </w:rPr>
              <w:t>Inc.</w:t>
            </w:r>
          </w:p>
        </w:tc>
        <w:tc>
          <w:tcPr>
            <w:tcW w:w="120" w:type="dxa"/>
            <w:vAlign w:val="bottom"/>
          </w:tcPr>
          <w:p>
            <w:pPr>
              <w:spacing w:after="0"/>
              <w:rPr>
                <w:sz w:val="9"/>
                <w:szCs w:val="9"/>
                <w:color w:val="auto"/>
              </w:rPr>
            </w:pPr>
          </w:p>
        </w:tc>
        <w:tc>
          <w:tcPr>
            <w:tcW w:w="70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line="129" w:lineRule="exact"/>
              <w:rPr>
                <w:sz w:val="20"/>
                <w:szCs w:val="20"/>
                <w:color w:val="auto"/>
              </w:rPr>
            </w:pPr>
            <w:r>
              <w:rPr>
                <w:rFonts w:ascii="Arial" w:cs="Arial" w:eastAsia="Arial" w:hAnsi="Arial"/>
                <w:sz w:val="14"/>
                <w:szCs w:val="14"/>
                <w:b w:val="1"/>
                <w:bCs w:val="1"/>
                <w:color w:val="auto"/>
                <w:w w:val="87"/>
              </w:rPr>
              <w:t>Retained</w:t>
            </w:r>
          </w:p>
        </w:tc>
        <w:tc>
          <w:tcPr>
            <w:tcW w:w="1100" w:type="dxa"/>
            <w:vAlign w:val="bottom"/>
            <w:gridSpan w:val="3"/>
            <w:vMerge w:val="restart"/>
          </w:tcPr>
          <w:p>
            <w:pPr>
              <w:ind w:left="40"/>
              <w:spacing w:after="0" w:line="129" w:lineRule="exact"/>
              <w:rPr>
                <w:sz w:val="20"/>
                <w:szCs w:val="20"/>
                <w:color w:val="auto"/>
              </w:rPr>
            </w:pPr>
            <w:r>
              <w:rPr>
                <w:rFonts w:ascii="Arial" w:cs="Arial" w:eastAsia="Arial" w:hAnsi="Arial"/>
                <w:sz w:val="14"/>
                <w:szCs w:val="14"/>
                <w:b w:val="1"/>
                <w:bCs w:val="1"/>
                <w:color w:val="auto"/>
                <w:w w:val="98"/>
              </w:rPr>
              <w:t>Comprehensive</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9"/>
                <w:szCs w:val="9"/>
                <w:color w:val="auto"/>
              </w:rPr>
            </w:pPr>
          </w:p>
        </w:tc>
        <w:tc>
          <w:tcPr>
            <w:tcW w:w="560" w:type="dxa"/>
            <w:vAlign w:val="bottom"/>
            <w:vMerge w:val="restart"/>
          </w:tcPr>
          <w:p>
            <w:pPr>
              <w:jc w:val="center"/>
              <w:ind w:right="48"/>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40" w:type="dxa"/>
            <w:vAlign w:val="bottom"/>
            <w:gridSpan w:val="2"/>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2"/>
        </w:trPr>
        <w:tc>
          <w:tcPr>
            <w:tcW w:w="3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118,610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2,561</w:t>
            </w:r>
          </w:p>
        </w:tc>
        <w:tc>
          <w:tcPr>
            <w:tcW w:w="0" w:type="dxa"/>
            <w:vAlign w:val="bottom"/>
          </w:tcPr>
          <w:p>
            <w:pPr>
              <w:spacing w:after="0"/>
              <w:rPr>
                <w:sz w:val="1"/>
                <w:szCs w:val="1"/>
                <w:color w:val="auto"/>
              </w:rPr>
            </w:pP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2"/>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Vesting of stock compensation awards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Balance as of September 30, 2022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118,629</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XPO</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Before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Logistics,</w:t>
            </w: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160"/>
              <w:spacing w:after="0" w:line="129" w:lineRule="exact"/>
              <w:rPr>
                <w:sz w:val="20"/>
                <w:szCs w:val="20"/>
                <w:color w:val="auto"/>
              </w:rPr>
            </w:pPr>
            <w:r>
              <w:rPr>
                <w:rFonts w:ascii="Arial" w:cs="Arial" w:eastAsia="Arial" w:hAnsi="Arial"/>
                <w:sz w:val="14"/>
                <w:szCs w:val="14"/>
                <w:b w:val="1"/>
                <w:bCs w:val="1"/>
                <w:color w:val="auto"/>
                <w:w w:val="99"/>
              </w:rPr>
              <w:t>Inc.</w:t>
            </w:r>
          </w:p>
        </w:tc>
        <w:tc>
          <w:tcPr>
            <w:tcW w:w="120" w:type="dxa"/>
            <w:vAlign w:val="bottom"/>
          </w:tcPr>
          <w:p>
            <w:pPr>
              <w:spacing w:after="0"/>
              <w:rPr>
                <w:sz w:val="9"/>
                <w:szCs w:val="9"/>
                <w:color w:val="auto"/>
              </w:rPr>
            </w:pPr>
          </w:p>
        </w:tc>
        <w:tc>
          <w:tcPr>
            <w:tcW w:w="70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line="129" w:lineRule="exact"/>
              <w:rPr>
                <w:sz w:val="20"/>
                <w:szCs w:val="20"/>
                <w:color w:val="auto"/>
              </w:rPr>
            </w:pPr>
            <w:r>
              <w:rPr>
                <w:rFonts w:ascii="Arial" w:cs="Arial" w:eastAsia="Arial" w:hAnsi="Arial"/>
                <w:sz w:val="14"/>
                <w:szCs w:val="14"/>
                <w:b w:val="1"/>
                <w:bCs w:val="1"/>
                <w:color w:val="auto"/>
                <w:w w:val="87"/>
              </w:rPr>
              <w:t>Retained</w:t>
            </w:r>
          </w:p>
        </w:tc>
        <w:tc>
          <w:tcPr>
            <w:tcW w:w="1100" w:type="dxa"/>
            <w:vAlign w:val="bottom"/>
            <w:gridSpan w:val="3"/>
            <w:vMerge w:val="restart"/>
          </w:tcPr>
          <w:p>
            <w:pPr>
              <w:ind w:left="40"/>
              <w:spacing w:after="0" w:line="129" w:lineRule="exact"/>
              <w:rPr>
                <w:sz w:val="20"/>
                <w:szCs w:val="20"/>
                <w:color w:val="auto"/>
              </w:rPr>
            </w:pPr>
            <w:r>
              <w:rPr>
                <w:rFonts w:ascii="Arial" w:cs="Arial" w:eastAsia="Arial" w:hAnsi="Arial"/>
                <w:sz w:val="14"/>
                <w:szCs w:val="14"/>
                <w:b w:val="1"/>
                <w:bCs w:val="1"/>
                <w:color w:val="auto"/>
                <w:w w:val="98"/>
              </w:rPr>
              <w:t>Comprehensive</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9"/>
                <w:szCs w:val="9"/>
                <w:color w:val="auto"/>
              </w:rPr>
            </w:pPr>
          </w:p>
        </w:tc>
        <w:tc>
          <w:tcPr>
            <w:tcW w:w="560" w:type="dxa"/>
            <w:vAlign w:val="bottom"/>
            <w:vMerge w:val="restart"/>
          </w:tcPr>
          <w:p>
            <w:pPr>
              <w:jc w:val="center"/>
              <w:ind w:right="48"/>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40" w:type="dxa"/>
            <w:vAlign w:val="bottom"/>
            <w:gridSpan w:val="2"/>
            <w:vMerge w:val="continue"/>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3"/>
        </w:trPr>
        <w:tc>
          <w:tcPr>
            <w:tcW w:w="3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0" w:type="dxa"/>
            <w:vAlign w:val="bottom"/>
          </w:tcPr>
          <w:p>
            <w:pPr>
              <w:spacing w:after="0"/>
              <w:rPr>
                <w:sz w:val="1"/>
                <w:szCs w:val="1"/>
                <w:color w:val="auto"/>
              </w:rPr>
            </w:pP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2"/>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Vesting of stock compensation awards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Tax withholding on vesting of stock compensation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10"/>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awards</w:t>
            </w:r>
          </w:p>
        </w:tc>
        <w:tc>
          <w:tcPr>
            <w:tcW w:w="6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34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Common stock issued for acquisition</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2"/>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Deconsolidation of variable interest entity</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Dividends</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Balance as of September 30, 2022</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118,629</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2,569</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XPO</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Equity Before</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Logistics,</w:t>
            </w:r>
          </w:p>
        </w:tc>
        <w:tc>
          <w:tcPr>
            <w:tcW w:w="8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Other</w:t>
            </w:r>
          </w:p>
        </w:tc>
        <w:tc>
          <w:tcPr>
            <w:tcW w:w="10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4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8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9"/>
              </w:rPr>
              <w:t>Inc.</w:t>
            </w:r>
          </w:p>
        </w:tc>
        <w:tc>
          <w:tcPr>
            <w:tcW w:w="84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8"/>
              </w:rPr>
              <w:t>Paid-In</w:t>
            </w:r>
          </w:p>
        </w:tc>
        <w:tc>
          <w:tcPr>
            <w:tcW w:w="780" w:type="dxa"/>
            <w:vAlign w:val="bottom"/>
            <w:vMerge w:val="restart"/>
          </w:tcPr>
          <w:p>
            <w:pPr>
              <w:ind w:left="120"/>
              <w:spacing w:after="0" w:line="129" w:lineRule="exact"/>
              <w:rPr>
                <w:sz w:val="20"/>
                <w:szCs w:val="20"/>
                <w:color w:val="auto"/>
              </w:rPr>
            </w:pPr>
            <w:r>
              <w:rPr>
                <w:rFonts w:ascii="Arial" w:cs="Arial" w:eastAsia="Arial" w:hAnsi="Arial"/>
                <w:sz w:val="14"/>
                <w:szCs w:val="14"/>
                <w:b w:val="1"/>
                <w:bCs w:val="1"/>
                <w:color w:val="auto"/>
              </w:rPr>
              <w:t>Retained</w:t>
            </w:r>
          </w:p>
        </w:tc>
        <w:tc>
          <w:tcPr>
            <w:tcW w:w="112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108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540" w:type="dxa"/>
            <w:vAlign w:val="bottom"/>
            <w:vMerge w:val="restart"/>
          </w:tcPr>
          <w:p>
            <w:pPr>
              <w:jc w:val="center"/>
              <w:ind w:left="28"/>
              <w:spacing w:after="0" w:line="12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  Investment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Earnings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540" w:type="dxa"/>
            <w:vAlign w:val="bottom"/>
          </w:tcPr>
          <w:p>
            <w:pPr>
              <w:jc w:val="center"/>
              <w:ind w:lef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June 30, 2021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Vesting of stock compensation awards</w:t>
      </w:r>
    </w:p>
    <w:p>
      <w:pPr>
        <w:spacing w:after="0" w:line="42" w:lineRule="exact"/>
        <w:rPr>
          <w:sz w:val="20"/>
          <w:szCs w:val="20"/>
          <w:color w:val="auto"/>
        </w:rPr>
      </w:pPr>
    </w:p>
    <w:p>
      <w:pPr>
        <w:ind w:left="20" w:right="280"/>
        <w:spacing w:after="0" w:line="251" w:lineRule="auto"/>
        <w:rPr>
          <w:sz w:val="20"/>
          <w:szCs w:val="20"/>
          <w:color w:val="auto"/>
        </w:rPr>
      </w:pPr>
      <w:r>
        <w:rPr>
          <w:rFonts w:ascii="Arial" w:cs="Arial" w:eastAsia="Arial" w:hAnsi="Arial"/>
          <w:sz w:val="14"/>
          <w:szCs w:val="14"/>
          <w:color w:val="auto"/>
        </w:rPr>
        <w:t>Net transfers (to) from XPO, including separation adjustments</w:t>
      </w:r>
    </w:p>
    <w:p>
      <w:pPr>
        <w:spacing w:after="0" w:line="1"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Issuance of common stock and reclassification of XPO investment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September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2,835</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2,874</w:t>
            </w: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2,914</w:t>
            </w:r>
          </w:p>
        </w:tc>
      </w:tr>
      <w:tr>
        <w:trPr>
          <w:trHeight w:val="20"/>
        </w:trPr>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197"/>
        </w:trPr>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3"/>
        </w:trPr>
        <w:tc>
          <w:tcPr>
            <w:tcW w:w="6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(642)</w:t>
            </w:r>
          </w:p>
        </w:tc>
      </w:tr>
      <w:tr>
        <w:trPr>
          <w:trHeight w:val="337"/>
        </w:trPr>
        <w:tc>
          <w:tcPr>
            <w:tcW w:w="600" w:type="dxa"/>
            <w:vAlign w:val="bottom"/>
          </w:tcPr>
          <w:p>
            <w:pPr>
              <w:jc w:val="right"/>
              <w:spacing w:after="0"/>
              <w:rPr>
                <w:sz w:val="20"/>
                <w:szCs w:val="20"/>
                <w:color w:val="auto"/>
              </w:rPr>
            </w:pPr>
            <w:r>
              <w:rPr>
                <w:rFonts w:ascii="Arial" w:cs="Arial" w:eastAsia="Arial" w:hAnsi="Arial"/>
                <w:sz w:val="14"/>
                <w:szCs w:val="14"/>
                <w:color w:val="auto"/>
              </w:rPr>
              <w:t>114,626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(2,345)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93"/>
        </w:trPr>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176"/>
        </w:trPr>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114,636</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2,348</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2,296</w:t>
            </w:r>
          </w:p>
        </w:tc>
        <w:tc>
          <w:tcPr>
            <w:tcW w:w="80" w:type="dxa"/>
            <w:vAlign w:val="bottom"/>
          </w:tcPr>
          <w:p>
            <w:pPr>
              <w:spacing w:after="0"/>
              <w:rPr>
                <w:sz w:val="15"/>
                <w:szCs w:val="15"/>
                <w:color w:val="auto"/>
              </w:rPr>
            </w:pP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2,337</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-984885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-727710</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-384810</wp:posOffset>
            </wp:positionV>
            <wp:extent cx="7132320" cy="213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260"/>
            <w:col w:w="7800"/>
          </w:cols>
          <w:pgMar w:left="320" w:top="1417" w:right="339" w:bottom="1440" w:gutter="0" w:footer="0" w:header="0"/>
          <w:type w:val="continuous"/>
        </w:sectPr>
      </w:pP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XPO</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Before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Logistics,</w:t>
            </w: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ind w:right="160"/>
              <w:spacing w:after="0" w:line="129" w:lineRule="exact"/>
              <w:rPr>
                <w:sz w:val="20"/>
                <w:szCs w:val="20"/>
                <w:color w:val="auto"/>
              </w:rPr>
            </w:pPr>
            <w:r>
              <w:rPr>
                <w:rFonts w:ascii="Arial" w:cs="Arial" w:eastAsia="Arial" w:hAnsi="Arial"/>
                <w:sz w:val="14"/>
                <w:szCs w:val="14"/>
                <w:b w:val="1"/>
                <w:bCs w:val="1"/>
                <w:color w:val="auto"/>
                <w:w w:val="99"/>
              </w:rPr>
              <w:t>Inc.</w:t>
            </w:r>
          </w:p>
        </w:tc>
        <w:tc>
          <w:tcPr>
            <w:tcW w:w="120" w:type="dxa"/>
            <w:vAlign w:val="bottom"/>
          </w:tcPr>
          <w:p>
            <w:pPr>
              <w:spacing w:after="0"/>
              <w:rPr>
                <w:sz w:val="9"/>
                <w:szCs w:val="9"/>
                <w:color w:val="auto"/>
              </w:rPr>
            </w:pPr>
          </w:p>
        </w:tc>
        <w:tc>
          <w:tcPr>
            <w:tcW w:w="70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9"/>
                <w:szCs w:val="9"/>
                <w:color w:val="auto"/>
              </w:rPr>
            </w:pPr>
          </w:p>
        </w:tc>
        <w:tc>
          <w:tcPr>
            <w:tcW w:w="720" w:type="dxa"/>
            <w:vAlign w:val="bottom"/>
            <w:gridSpan w:val="2"/>
            <w:vMerge w:val="restart"/>
          </w:tcPr>
          <w:p>
            <w:pPr>
              <w:jc w:val="right"/>
              <w:ind w:right="180"/>
              <w:spacing w:after="0" w:line="129" w:lineRule="exact"/>
              <w:rPr>
                <w:sz w:val="20"/>
                <w:szCs w:val="20"/>
                <w:color w:val="auto"/>
              </w:rPr>
            </w:pPr>
            <w:r>
              <w:rPr>
                <w:rFonts w:ascii="Arial" w:cs="Arial" w:eastAsia="Arial" w:hAnsi="Arial"/>
                <w:sz w:val="14"/>
                <w:szCs w:val="14"/>
                <w:b w:val="1"/>
                <w:bCs w:val="1"/>
                <w:color w:val="auto"/>
                <w:w w:val="87"/>
              </w:rPr>
              <w:t>Retained</w:t>
            </w:r>
          </w:p>
        </w:tc>
        <w:tc>
          <w:tcPr>
            <w:tcW w:w="110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1080" w:type="dxa"/>
            <w:vAlign w:val="bottom"/>
            <w:gridSpan w:val="3"/>
            <w:vMerge w:val="restart"/>
          </w:tcPr>
          <w:p>
            <w:pPr>
              <w:ind w:left="40"/>
              <w:spacing w:after="0" w:line="129" w:lineRule="exact"/>
              <w:rPr>
                <w:sz w:val="20"/>
                <w:szCs w:val="20"/>
                <w:color w:val="auto"/>
              </w:rPr>
            </w:pPr>
            <w:r>
              <w:rPr>
                <w:rFonts w:ascii="Arial" w:cs="Arial" w:eastAsia="Arial" w:hAnsi="Arial"/>
                <w:sz w:val="14"/>
                <w:szCs w:val="14"/>
                <w:b w:val="1"/>
                <w:bCs w:val="1"/>
                <w:color w:val="auto"/>
              </w:rPr>
              <w:t>Noncontrolling</w:t>
            </w:r>
          </w:p>
        </w:tc>
        <w:tc>
          <w:tcPr>
            <w:tcW w:w="1080" w:type="dxa"/>
            <w:vAlign w:val="bottom"/>
            <w:gridSpan w:val="3"/>
            <w:vMerge w:val="restart"/>
          </w:tcPr>
          <w:p>
            <w:pPr>
              <w:ind w:left="40"/>
              <w:spacing w:after="0" w:line="129"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9"/>
                <w:szCs w:val="9"/>
                <w:color w:val="auto"/>
              </w:rPr>
            </w:pPr>
          </w:p>
        </w:tc>
        <w:tc>
          <w:tcPr>
            <w:tcW w:w="560" w:type="dxa"/>
            <w:vAlign w:val="bottom"/>
            <w:vMerge w:val="restart"/>
          </w:tcPr>
          <w:p>
            <w:pPr>
              <w:jc w:val="right"/>
              <w:ind w:right="108"/>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gridSpan w:val="2"/>
            <w:vMerge w:val="continue"/>
          </w:tcPr>
          <w:p>
            <w:pPr>
              <w:spacing w:after="0"/>
              <w:rPr>
                <w:sz w:val="16"/>
                <w:szCs w:val="16"/>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3"/>
        </w:trPr>
        <w:tc>
          <w:tcPr>
            <w:tcW w:w="3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176"/>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6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2"/>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Vesting of stock compensation awards</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Purchase of noncontrolling interest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4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Net transfers (to) from XPO, including separation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10"/>
        </w:trPr>
        <w:tc>
          <w:tcPr>
            <w:tcW w:w="34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720" w:type="dxa"/>
            <w:vAlign w:val="bottom"/>
            <w:gridSpan w:val="2"/>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6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3400" w:type="dxa"/>
            <w:vAlign w:val="bottom"/>
            <w:tcBorders>
              <w:bottom w:val="single" w:sz="8" w:color="CCEEFF"/>
            </w:tcBorders>
            <w:gridSpan w:val="2"/>
            <w:vMerge w:val="continue"/>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gridSpan w:val="2"/>
          </w:tcPr>
          <w:p>
            <w:pPr>
              <w:ind w:left="20"/>
              <w:spacing w:after="0" w:line="135" w:lineRule="exact"/>
              <w:rPr>
                <w:sz w:val="20"/>
                <w:szCs w:val="20"/>
                <w:color w:val="auto"/>
              </w:rPr>
            </w:pPr>
            <w:r>
              <w:rPr>
                <w:rFonts w:ascii="Arial" w:cs="Arial" w:eastAsia="Arial" w:hAnsi="Arial"/>
                <w:sz w:val="14"/>
                <w:szCs w:val="14"/>
                <w:color w:val="auto"/>
                <w:w w:val="99"/>
              </w:rPr>
              <w:t>Issuance of common stock and reclassification of XPO</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114,626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(2,345)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2,344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color w:val="auto"/>
              </w:rPr>
              <w:t>investment</w:t>
            </w: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34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Balance as of September 30, 2021</w:t>
            </w:r>
          </w:p>
        </w:tc>
        <w:tc>
          <w:tcPr>
            <w:tcW w:w="6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114,636</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2,296</w:t>
            </w:r>
          </w:p>
        </w:tc>
        <w:tc>
          <w:tcPr>
            <w:tcW w:w="80" w:type="dxa"/>
            <w:vAlign w:val="bottom"/>
          </w:tcPr>
          <w:p>
            <w:pPr>
              <w:spacing w:after="0"/>
              <w:rPr>
                <w:sz w:val="15"/>
                <w:szCs w:val="15"/>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accompanying unaudited Condensed Consolidated Financial Statements of GXO Logistics, Inc. (“GXO” or the “Company”) have been prepared in accordance with generally accepted accounting principles in the United States of America (“GAAP”) for interim financial information and pursuant to the rules of the Securities and Exchange Commission (“SEC”). Accordingly, they do not include all of the information and footnotes required by GAAP for complete financial statements. The accompanying unaudited Condensed Consolidated Financial Statements and notes thereto should be read in conjunction with the Annual Report on Form 10-K for the year ended December 31, 2021 (the “2021 Form 10-K”).</w:t>
      </w:r>
    </w:p>
    <w:p>
      <w:pPr>
        <w:spacing w:after="0" w:line="20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the opinion of management, all adjustments, consisting of normal recurring accruals, considered necessary for a fair presentation have been included. Operating results for the three and nine months ended September 30, 2022, are not necessarily indicative of the results that may be expected for the year ending December 31, 2022.</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August 2, 2021, the Company completed the separation from XPO Logistics, Inc. (“XPO”) (the “Separation”). Prior to the Separation, the Company’s financial statements were prepared on a standalone combined basis and were derived from the consolidated financial statements and accounting records of XPO. On August 2, 2021, the Company became a standalone publicly traded company, and its financial statements post-Separation are prepared on a consolidated basis. The combined consolidated financial statements for all periods presented prior to the Separation are now also referred to as “Condensed Consolidated Financial Statements” and have been prepared under GAAP.</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Prior to the Separation, the Company’s historical assets and liabilities presented were wholly owned by XPO and were reflected on a historical cost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Separation, the Company’s assets and liabilities were transferred to the Company on a carryover basis.</w:t>
      </w:r>
    </w:p>
    <w:p>
      <w:pPr>
        <w:spacing w:after="0" w:line="2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Prior to the Separation, the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proportional adjusted earnings before interest, taxes, depreciation and amortization, which include adjustments for transaction and integration costs, as well as restructuring costs and other adjustments, or headcount. The majority of these allocated costs is recorded within Selling, general and administrative expense; Depreciation and amortization expense; and Transaction and integration costs in the Condensed Consolidated Statements of Operations.</w:t>
      </w:r>
    </w:p>
    <w:p>
      <w:pPr>
        <w:spacing w:after="0" w:line="19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Company’s Condensed Consolidated Financial Statements include the accounts of GXO and its majority-owned subsidiaries and variable interest entities of which the Company is the primary beneficiary. The Company has eliminated intercompany accounts and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presents its operations as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2021, the Financial Accounting Standards Board (“FASB”) issued ASU No. 2021-08, “Business Combinations (Topic 805): Accounting for Contract Assets and Contract Liabilities from Contracts with Customers.” The ASU clarifies that an acquirer of a business should recognize and measure contract assets and contract liabilities in a business combination in accordance with Accounting Standards Codification Topic 606, Revenue from Contracts with Customers. On January 1, 2022, the Company adopted the guidance. The adoption of this new standard did not have a material impact on the Company’s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The Company intends to apply this guidance when modifications of contracts that include LIBOR occur, which is not expected to have a material impact on the Company’s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geographical area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2,371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1,847</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United States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2,075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1,734</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France</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Netherlands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Spain</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r>
      <w:tr>
        <w:trPr>
          <w:trHeight w:val="234"/>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2,287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1,974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6,526</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5,678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revenue can also be disaggregated by various verticals, reflecting our customers’ principal industry. Revenue disaggregated by industries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Omnichannel retail</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Food and beverage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972</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Technology and consumer electronics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Industrial and manufacturing</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743</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 packaged goods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r>
      <w:tr>
        <w:trPr>
          <w:trHeight w:val="235"/>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2,287</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1,974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September 30, 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746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Contract assets</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79"/>
        </w:trPr>
        <w:tc>
          <w:tcPr>
            <w:tcW w:w="7460" w:type="dxa"/>
            <w:vAlign w:val="bottom"/>
            <w:gridSpan w:val="2"/>
          </w:tcPr>
          <w:p>
            <w:pPr>
              <w:ind w:left="2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(2)</w:t>
            </w: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220</w:t>
            </w:r>
          </w:p>
        </w:tc>
      </w:tr>
    </w:tbl>
    <w:p>
      <w:pPr>
        <w:spacing w:after="0" w:line="6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Contract assets are included within Other current assets and Other long-term assets in the Condensed Consolidated Balance Sheets.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Contract liabilities are included within Other current liabilities and Other long-term liabilities in the Condensed Consolidated Balance Sheets.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included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w w:val="93"/>
              </w:rPr>
              <w:t>Nine Months Ended</w:t>
            </w:r>
          </w:p>
        </w:tc>
        <w:tc>
          <w:tcPr>
            <w:tcW w:w="34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gridSpan w:val="4"/>
          </w:tcPr>
          <w:p>
            <w:pPr>
              <w:jc w:val="center"/>
              <w:ind w:left="219"/>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Borders>
              <w:bottom w:val="single" w:sz="8" w:color="auto"/>
            </w:tcBorders>
            <w:gridSpan w:val="4"/>
          </w:tcPr>
          <w:p>
            <w:pPr>
              <w:jc w:val="center"/>
              <w:ind w:left="259"/>
              <w:spacing w:after="0"/>
              <w:rPr>
                <w:sz w:val="20"/>
                <w:szCs w:val="20"/>
                <w:color w:val="auto"/>
              </w:rPr>
            </w:pPr>
            <w:r>
              <w:rPr>
                <w:rFonts w:ascii="Arial" w:cs="Arial" w:eastAsia="Arial" w:hAnsi="Arial"/>
                <w:sz w:val="16"/>
                <w:szCs w:val="16"/>
                <w:b w:val="1"/>
                <w:bCs w:val="1"/>
                <w:color w:val="auto"/>
                <w:w w:val="91"/>
              </w:rPr>
              <w:t>September 30,</w:t>
            </w:r>
          </w:p>
        </w:tc>
        <w:tc>
          <w:tcPr>
            <w:tcW w:w="340" w:type="dxa"/>
            <w:vAlign w:val="bottom"/>
            <w:tcBorders>
              <w:bottom w:val="single" w:sz="8" w:color="auto"/>
            </w:tcBorders>
          </w:tcPr>
          <w:p>
            <w:pPr>
              <w:spacing w:after="0"/>
              <w:rPr>
                <w:sz w:val="18"/>
                <w:szCs w:val="18"/>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included in the beginning of year contract liability balance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September 30, 2022, the fixed consideration component of the Company’s remaining performance obligations was approximately $3.0 billion, and the Company expects to recognize approximately 75% of that amount over the next three years and the remainder thereafter. The Company estimates remaining performance obligations at a point in time, and actual amounts may differ from these estimates due to changes in foreign currency exchange rates and contract revisions or terminations.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Clipper Acquisition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24, 2022, the Company completed the acquisition of Clipper Logistics plc (“Clipper”), an omnichannel retail logistics specialist based in Leeds, England (the “Clipper Acquisition”). The Company acquired Clipper for $1,103 million, consisting of $900 million in cash and the issuance of 3,749,266 shares of GXO common stock having a value of $203 million. The Clipper Acquisition was subject to review by the Competition and Markets Authority in the United Kingdom (the “CMA”). On October 4, 2022, the CMA approved the Clipper Acquisition.</w:t>
      </w:r>
    </w:p>
    <w:p>
      <w:pPr>
        <w:spacing w:after="0" w:line="21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incurred acquisition and integration costs related to the Clipper Acquisition of $7 million and $41 million for the three and nine months ended September 30, 2022, respectively. These costs are included in Transaction and integration costs in the Condensed Consolidated Statements of Operations.</w:t>
      </w:r>
    </w:p>
    <w:p>
      <w:pPr>
        <w:spacing w:after="0" w:line="21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connection with the Clipper Acquisition, (i) the Company and Clipper entered into a Cooperation Agreement; (ii) the Company entered into a Delayed Draw Term Loan; (iii) the Company entered into a Five-Year Term Loan; and (iv) the Company terminated its Bridge Term Loan. For additional information regarding the financing agreements entered into in connection with the Clipper Acquisition, see Note 7. Debt and Financing Arrangements.</w:t>
      </w:r>
    </w:p>
    <w:p>
      <w:pPr>
        <w:spacing w:after="0" w:line="17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included Clipper’s results of operations from the date of acquisition. For the three and nine months ended September 30, 2022, the Company recorded $239 million and $319 million of revenue, respectively, and $— million and $1 million of income before income taxes, respectively.</w:t>
      </w:r>
    </w:p>
    <w:p>
      <w:pPr>
        <w:spacing w:after="0" w:line="15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Company accounted for the Clipper Acquisition as a business combination using the acquisition method of accounting. The fair value of assets acquired and liabilities assumed was based on management’s estimate of the fair values of the assets acquired and liabilities assumed using valuation techniques including income, cost and market approaches.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following table summarizes the estimated fair value of identifiable assets acquired and liabilities assumed at the acquisition date:</w:t>
      </w:r>
    </w:p>
    <w:p>
      <w:pPr>
        <w:sectPr>
          <w:pgSz w:w="11900" w:h="16838" w:orient="portrait"/>
          <w:cols w:equalWidth="0" w:num="1">
            <w:col w:w="11240"/>
          </w:cols>
          <w:pgMar w:left="320" w:top="1421" w:right="339" w:bottom="1440" w:gutter="0" w:footer="0" w:header="0"/>
        </w:sect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 current assets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Total current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Operating lease assets</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Intangible assets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Other long-term assets</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Total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Total assets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Accrued expenses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Short-term borrowings and obligations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Current operating lease liabilities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current liabilities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Long-term debt and obligations under finance leases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long-term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9"/>
        </w:trPr>
        <w:tc>
          <w:tcPr>
            <w:tcW w:w="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09"/>
        </w:trPr>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r>
      <w:tr>
        <w:trPr>
          <w:trHeight w:val="409"/>
        </w:trPr>
        <w:tc>
          <w:tcPr>
            <w:tcW w:w="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6"/>
        </w:trPr>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6"/>
        </w:trPr>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19"/>
        </w:trPr>
        <w:tc>
          <w:tcPr>
            <w:tcW w:w="8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09"/>
        </w:trPr>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r>
      <w:tr>
        <w:trPr>
          <w:trHeight w:val="23"/>
        </w:trPr>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08"/>
        </w:trPr>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6"/>
        </w:trPr>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w:t>
            </w:r>
          </w:p>
        </w:tc>
      </w:tr>
    </w:tbl>
    <w:p>
      <w:pPr>
        <w:spacing w:after="0" w:line="1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37</w:t>
      </w:r>
    </w:p>
    <w:p>
      <w:pPr>
        <w:spacing w:after="0" w:line="32"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45</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191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10</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170</w:t>
      </w:r>
    </w:p>
    <w:p>
      <w:pPr>
        <w:spacing w:after="0" w:line="32"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118</w:t>
      </w:r>
    </w:p>
    <w:p>
      <w:pPr>
        <w:spacing w:after="0" w:line="22" w:lineRule="exact"/>
        <w:rPr>
          <w:sz w:val="20"/>
          <w:szCs w:val="20"/>
          <w:color w:val="auto"/>
        </w:rPr>
      </w:pPr>
    </w:p>
    <w:p>
      <w:pPr>
        <w:sectPr>
          <w:pgSz w:w="11900" w:h="16838" w:orient="portrait"/>
          <w:cols w:equalWidth="0" w:num="2">
            <w:col w:w="8640" w:space="720"/>
            <w:col w:w="1880"/>
          </w:cols>
          <w:pgMar w:left="320" w:top="14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936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long-term liabilities</w:t>
            </w:r>
          </w:p>
        </w:tc>
        <w:tc>
          <w:tcPr>
            <w:tcW w:w="7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32"/>
        </w:trPr>
        <w:tc>
          <w:tcPr>
            <w:tcW w:w="9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b w:val="1"/>
                <w:bCs w:val="1"/>
                <w:color w:val="auto"/>
              </w:rPr>
              <w:t>Total liabilities</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assets purchased</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360" w:type="dxa"/>
            <w:vAlign w:val="bottom"/>
            <w:vMerge w:val="continue"/>
          </w:tcPr>
          <w:p>
            <w:pPr>
              <w:spacing w:after="0"/>
              <w:rPr>
                <w:sz w:val="16"/>
                <w:szCs w:val="16"/>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9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Common stock issued</w:t>
            </w:r>
            <w:r>
              <w:rPr>
                <w:rFonts w:ascii="Arial" w:cs="Arial" w:eastAsia="Arial" w:hAnsi="Arial"/>
                <w:sz w:val="21"/>
                <w:szCs w:val="21"/>
                <w:color w:val="auto"/>
                <w:vertAlign w:val="superscript"/>
              </w:rPr>
              <w:t>(2)</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0"/>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 paid</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10"/>
        </w:trPr>
        <w:tc>
          <w:tcPr>
            <w:tcW w:w="9360" w:type="dxa"/>
            <w:vAlign w:val="bottom"/>
          </w:tcPr>
          <w:p>
            <w:pPr>
              <w:ind w:left="20"/>
              <w:spacing w:after="0" w:line="210" w:lineRule="exact"/>
              <w:rPr>
                <w:sz w:val="20"/>
                <w:szCs w:val="20"/>
                <w:color w:val="auto"/>
              </w:rPr>
            </w:pPr>
            <w:r>
              <w:rPr>
                <w:rFonts w:ascii="Arial" w:cs="Arial" w:eastAsia="Arial" w:hAnsi="Arial"/>
                <w:sz w:val="16"/>
                <w:szCs w:val="16"/>
                <w:color w:val="auto"/>
              </w:rPr>
              <w:t>Goodwill recorded</w:t>
            </w:r>
            <w:r>
              <w:rPr>
                <w:rFonts w:ascii="Arial" w:cs="Arial" w:eastAsia="Arial" w:hAnsi="Arial"/>
                <w:sz w:val="21"/>
                <w:szCs w:val="21"/>
                <w:color w:val="auto"/>
                <w:vertAlign w:val="superscript"/>
              </w:rPr>
              <w:t>(3)</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acquired $392 million of intangible assets comprised of customer relationships and trade names, with weighted-average useful lives of 15 years.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fair value of the Company’s common stock on the acquisition date.</w:t>
      </w:r>
    </w:p>
    <w:p>
      <w:pPr>
        <w:spacing w:after="0" w:line="9" w:lineRule="exact"/>
        <w:rPr>
          <w:rFonts w:ascii="Arial" w:cs="Arial" w:eastAsia="Arial" w:hAnsi="Arial"/>
          <w:sz w:val="14"/>
          <w:szCs w:val="14"/>
          <w:color w:val="auto"/>
        </w:rPr>
      </w:pPr>
    </w:p>
    <w:p>
      <w:pPr>
        <w:ind w:left="260" w:right="220" w:hanging="252"/>
        <w:spacing w:after="0" w:line="283" w:lineRule="auto"/>
        <w:tabs>
          <w:tab w:leader="none" w:pos="221" w:val="left"/>
        </w:tabs>
        <w:numPr>
          <w:ilvl w:val="0"/>
          <w:numId w:val="4"/>
        </w:numPr>
        <w:rPr>
          <w:rFonts w:ascii="Arial" w:cs="Arial" w:eastAsia="Arial" w:hAnsi="Arial"/>
          <w:sz w:val="14"/>
          <w:szCs w:val="14"/>
          <w:color w:val="auto"/>
        </w:rPr>
      </w:pPr>
      <w:r>
        <w:rPr>
          <w:rFonts w:ascii="Arial" w:cs="Arial" w:eastAsia="Arial" w:hAnsi="Arial"/>
          <w:sz w:val="14"/>
          <w:szCs w:val="14"/>
          <w:color w:val="auto"/>
        </w:rPr>
        <w:t>Goodwill represents the excess of the purchase price over the fair value of identifiable assets acquired and liabilities assumed at the acquisition date. Goodwill acquired was recorded in the European reporting unit and was primarily attributed to anticipated synergies.</w:t>
      </w:r>
    </w:p>
    <w:p>
      <w:pPr>
        <w:spacing w:after="0" w:line="21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fair values of the assets acquired and liabilities assumed are considered preliminary and subject to adjustment as additional information is obtained and reviewed. The final allocation of the purchase price may differ from the preliminary allocation based on completion of the valuation. The Company expects to finalize the purchase price allocation within the measurement period, which will not exceed one year from the acquisition date. The primary areas of the purchase price allocation that are not yet finalized relate to lease assets and liabilities, intangible assets and goodwill.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12" w:name="page13"/>
    <w:bookmarkEnd w:id="12"/>
    <w:p>
      <w:pPr>
        <w:ind w:right="20"/>
        <w:spacing w:after="0" w:line="301" w:lineRule="auto"/>
        <w:rPr>
          <w:sz w:val="20"/>
          <w:szCs w:val="20"/>
          <w:color w:val="auto"/>
        </w:rPr>
      </w:pPr>
      <w:r>
        <w:rPr>
          <w:rFonts w:ascii="Arial" w:cs="Arial" w:eastAsia="Arial" w:hAnsi="Arial"/>
          <w:sz w:val="16"/>
          <w:szCs w:val="16"/>
          <w:color w:val="auto"/>
        </w:rPr>
        <w:t>The following unaudited pro forma information presents the Company’s results of operations as if the Clipper Acquisition occurred on January 1, 2021. The pro forma results reflect the impact of incremental interest expense, net of hedging instruments, to finance the acquisition and amortization expenses on acquired intangible assets. Adjustments have also been made to remove transaction related costs. The unaudited pro forma information is not necessarily indicative of what the results of operations of the combined company would have been if the acquisition had been completed as of January 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93"/>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6"/>
                <w:szCs w:val="16"/>
                <w:b w:val="1"/>
                <w:bCs w:val="1"/>
                <w:color w:val="auto"/>
                <w:w w:val="89"/>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2,287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6,489</w:t>
            </w:r>
          </w:p>
        </w:tc>
      </w:tr>
      <w:tr>
        <w:trPr>
          <w:trHeight w:val="210"/>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Kuehne + Nagel Acquisition</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January 2021, the Company acquired the majority of Kuehne + Nagel’s contract logistics operations in the U.K. Kuehne + Nagel’s operations provide a range of logistics services, including inbound and outbound distribution, reverse logistics management and inventory management. The Company recorded assets and liabilities at fair value. Operating and finance lease assets and liabilities, goodwill and intangible assets acquired were approximately $300 million, $16 million and $26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engages in restructuring actions as part of its ongoing efforts to best use its resources and infrastructure. These actions generally include severance and facility-related costs and are intended to improve efficiency and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restructuring liability rollforward was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w w:val="89"/>
              </w:rPr>
              <w:t>3</w:t>
            </w:r>
          </w:p>
        </w:tc>
      </w:tr>
      <w:tr>
        <w:trPr>
          <w:trHeight w:val="213"/>
        </w:trPr>
        <w:tc>
          <w:tcPr>
            <w:tcW w:w="9360" w:type="dxa"/>
            <w:vAlign w:val="bottom"/>
            <w:gridSpan w:val="2"/>
          </w:tcPr>
          <w:p>
            <w:pPr>
              <w:ind w:left="20"/>
              <w:spacing w:after="0"/>
              <w:rPr>
                <w:sz w:val="20"/>
                <w:szCs w:val="20"/>
                <w:color w:val="auto"/>
              </w:rPr>
            </w:pPr>
            <w:r>
              <w:rPr>
                <w:rFonts w:ascii="Arial" w:cs="Arial" w:eastAsia="Arial" w:hAnsi="Arial"/>
                <w:sz w:val="16"/>
                <w:szCs w:val="16"/>
                <w:color w:val="auto"/>
              </w:rPr>
              <w:t>Charges incurred</w:t>
            </w:r>
          </w:p>
        </w:tc>
        <w:tc>
          <w:tcPr>
            <w:tcW w:w="880" w:type="dxa"/>
            <w:vAlign w:val="bottom"/>
          </w:tcPr>
          <w:p>
            <w:pPr>
              <w:spacing w:after="0"/>
              <w:rPr>
                <w:sz w:val="18"/>
                <w:szCs w:val="18"/>
                <w:color w:val="auto"/>
              </w:rPr>
            </w:pPr>
          </w:p>
        </w:tc>
        <w:tc>
          <w:tcPr>
            <w:tcW w:w="1000" w:type="dxa"/>
            <w:vAlign w:val="bottom"/>
          </w:tcPr>
          <w:p>
            <w:pPr>
              <w:jc w:val="center"/>
              <w:ind w:left="719"/>
              <w:spacing w:after="0"/>
              <w:rPr>
                <w:sz w:val="20"/>
                <w:szCs w:val="20"/>
                <w:color w:val="auto"/>
              </w:rPr>
            </w:pPr>
            <w:r>
              <w:rPr>
                <w:rFonts w:ascii="Arial" w:cs="Arial" w:eastAsia="Arial" w:hAnsi="Arial"/>
                <w:sz w:val="16"/>
                <w:szCs w:val="16"/>
                <w:color w:val="auto"/>
                <w:w w:val="89"/>
              </w:rPr>
              <w:t>6</w:t>
            </w:r>
          </w:p>
        </w:tc>
      </w:tr>
      <w:tr>
        <w:trPr>
          <w:trHeight w:val="219"/>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8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(7)</w:t>
            </w:r>
          </w:p>
        </w:tc>
      </w:tr>
      <w:tr>
        <w:trPr>
          <w:trHeight w:val="207"/>
        </w:trPr>
        <w:tc>
          <w:tcPr>
            <w:tcW w:w="93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89"/>
              </w:rPr>
              <w:t>2</w:t>
            </w:r>
          </w:p>
        </w:tc>
      </w:tr>
      <w:tr>
        <w:trPr>
          <w:trHeight w:val="23"/>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remaining restructuring liability at September 30, 2022 was primarily related to severance payments and is expected to be substantially paid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first quarter of 2022, the Company deconsolidated a 50% owned joint venture. The deconsolidation resulted in an $8 million charge recorded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operating and finance leases for real estate, warehouse equipment, trucks, trailers, containers and material handling equipment.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related to leases were recorded in the Condensed Consolidated Balance Sheets: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6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2021</w:t>
            </w:r>
          </w:p>
        </w:tc>
      </w:tr>
      <w:tr>
        <w:trPr>
          <w:trHeight w:val="213"/>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7660" w:type="dxa"/>
            <w:vAlign w:val="bottom"/>
            <w:gridSpan w:val="2"/>
          </w:tcPr>
          <w:p>
            <w:pPr>
              <w:ind w:left="20"/>
              <w:spacing w:after="0"/>
              <w:rPr>
                <w:sz w:val="20"/>
                <w:szCs w:val="20"/>
                <w:color w:val="auto"/>
              </w:rPr>
            </w:pPr>
            <w:r>
              <w:rPr>
                <w:rFonts w:ascii="Arial" w:cs="Arial" w:eastAsia="Arial" w:hAnsi="Arial"/>
                <w:sz w:val="16"/>
                <w:szCs w:val="16"/>
                <w:color w:val="auto"/>
              </w:rPr>
              <w:t>Operating lease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3"/>
        </w:trPr>
        <w:tc>
          <w:tcPr>
            <w:tcW w:w="7660" w:type="dxa"/>
            <w:vAlign w:val="bottom"/>
            <w:gridSpan w:val="2"/>
          </w:tcPr>
          <w:p>
            <w:pPr>
              <w:ind w:left="20"/>
              <w:spacing w:after="0"/>
              <w:rPr>
                <w:sz w:val="20"/>
                <w:szCs w:val="20"/>
                <w:color w:val="auto"/>
              </w:rPr>
            </w:pPr>
            <w:r>
              <w:rPr>
                <w:rFonts w:ascii="Arial" w:cs="Arial" w:eastAsia="Arial" w:hAnsi="Arial"/>
                <w:sz w:val="16"/>
                <w:szCs w:val="16"/>
                <w:color w:val="auto"/>
              </w:rPr>
              <w:t>Current operating lease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19"/>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07"/>
        </w:trPr>
        <w:tc>
          <w:tcPr>
            <w:tcW w:w="7660" w:type="dxa"/>
            <w:vAlign w:val="bottom"/>
            <w:gridSpan w:val="2"/>
          </w:tcPr>
          <w:p>
            <w:pPr>
              <w:ind w:left="20"/>
              <w:spacing w:after="0"/>
              <w:rPr>
                <w:sz w:val="20"/>
                <w:szCs w:val="20"/>
                <w:color w:val="auto"/>
              </w:rPr>
            </w:pPr>
            <w:r>
              <w:rPr>
                <w:rFonts w:ascii="Arial" w:cs="Arial" w:eastAsia="Arial" w:hAnsi="Arial"/>
                <w:sz w:val="16"/>
                <w:szCs w:val="16"/>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0"/>
        </w:trPr>
        <w:tc>
          <w:tcPr>
            <w:tcW w:w="7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3"/>
        </w:trPr>
        <w:tc>
          <w:tcPr>
            <w:tcW w:w="76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Finance leases: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obligations under finance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Long-term obligations under finance leases</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3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finance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recorded in the Condensed Consolidated Statements of Operations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80" w:type="dxa"/>
            <w:vAlign w:val="bottom"/>
          </w:tcPr>
          <w:p>
            <w:pPr>
              <w:spacing w:after="0"/>
              <w:rPr>
                <w:sz w:val="18"/>
                <w:szCs w:val="18"/>
                <w:color w:val="auto"/>
              </w:rPr>
            </w:pPr>
          </w:p>
        </w:tc>
        <w:tc>
          <w:tcPr>
            <w:tcW w:w="22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Operating lease cost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527</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lease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6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Variable lease cost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lease cost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19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Finance leases: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leased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6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expense on lease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finance lease cost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6"/>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Total operating and finance lease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r>
      <w:tr>
        <w:trPr>
          <w:trHeight w:val="24"/>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was as follows: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millions)</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62"/>
        </w:trPr>
        <w:tc>
          <w:tcPr>
            <w:tcW w:w="76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Leased assets obtained in exchange for new operating lease liabilities, including $207 and $281 from an</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25"/>
        </w:trPr>
        <w:tc>
          <w:tcPr>
            <w:tcW w:w="760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color w:val="auto"/>
              </w:rPr>
              <w:t>acquisition in 2022 and 2021, respectively</w:t>
            </w:r>
          </w:p>
        </w:tc>
        <w:tc>
          <w:tcPr>
            <w:tcW w:w="340" w:type="dxa"/>
            <w:vAlign w:val="bottom"/>
            <w:vMerge w:val="continue"/>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7600" w:type="dxa"/>
            <w:vAlign w:val="bottom"/>
            <w:gridSpan w:val="2"/>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600" w:type="dxa"/>
            <w:vAlign w:val="bottom"/>
            <w:gridSpan w:val="2"/>
          </w:tcPr>
          <w:p>
            <w:pPr>
              <w:spacing w:after="0" w:line="166" w:lineRule="exact"/>
              <w:rPr>
                <w:sz w:val="20"/>
                <w:szCs w:val="20"/>
                <w:color w:val="auto"/>
              </w:rPr>
            </w:pPr>
            <w:r>
              <w:rPr>
                <w:rFonts w:ascii="Arial" w:cs="Arial" w:eastAsia="Arial" w:hAnsi="Arial"/>
                <w:sz w:val="16"/>
                <w:szCs w:val="16"/>
                <w:color w:val="auto"/>
                <w:w w:val="94"/>
              </w:rPr>
              <w:t>Leased assets obtained in exchange for new finance lease liabilities, including $16 and $23 from an acquisition in</w:t>
            </w:r>
          </w:p>
        </w:tc>
        <w:tc>
          <w:tcPr>
            <w:tcW w:w="3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25"/>
        </w:trPr>
        <w:tc>
          <w:tcPr>
            <w:tcW w:w="7600" w:type="dxa"/>
            <w:vAlign w:val="bottom"/>
            <w:gridSpan w:val="2"/>
            <w:vMerge w:val="restart"/>
          </w:tcPr>
          <w:p>
            <w:pPr>
              <w:ind w:left="160"/>
              <w:spacing w:after="0"/>
              <w:rPr>
                <w:sz w:val="20"/>
                <w:szCs w:val="20"/>
                <w:color w:val="auto"/>
              </w:rPr>
            </w:pPr>
            <w:r>
              <w:rPr>
                <w:rFonts w:ascii="Arial" w:cs="Arial" w:eastAsia="Arial" w:hAnsi="Arial"/>
                <w:sz w:val="16"/>
                <w:szCs w:val="16"/>
                <w:color w:val="auto"/>
              </w:rPr>
              <w:t>2022 and 2021, respectively</w:t>
            </w:r>
          </w:p>
        </w:tc>
        <w:tc>
          <w:tcPr>
            <w:tcW w:w="34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6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for the period: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948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9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r>
      <w:tr>
        <w:trPr>
          <w:trHeight w:val="216"/>
        </w:trPr>
        <w:tc>
          <w:tcPr>
            <w:tcW w:w="94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Acquisition</w:t>
            </w:r>
            <w:r>
              <w:rPr>
                <w:rFonts w:ascii="Arial" w:cs="Arial" w:eastAsia="Arial" w:hAnsi="Arial"/>
                <w:sz w:val="21"/>
                <w:szCs w:val="21"/>
                <w:color w:val="auto"/>
                <w:vertAlign w:val="superscript"/>
              </w:rPr>
              <w:t>(1)</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16"/>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translation</w:t>
            </w:r>
          </w:p>
        </w:tc>
        <w:tc>
          <w:tcPr>
            <w:tcW w:w="7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07"/>
        </w:trPr>
        <w:tc>
          <w:tcPr>
            <w:tcW w:w="94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w:t>
            </w:r>
          </w:p>
        </w:tc>
      </w:tr>
      <w:tr>
        <w:trPr>
          <w:trHeight w:val="23"/>
        </w:trPr>
        <w:tc>
          <w:tcPr>
            <w:tcW w:w="9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Any change in the goodwill amounts resulting from foreign currency translations are presented as “Foreign exchange translation.”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and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 of our debt:</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Rate</w:t>
            </w:r>
            <w:r>
              <w:rPr>
                <w:rFonts w:ascii="Arial" w:cs="Arial" w:eastAsia="Arial" w:hAnsi="Arial"/>
                <w:sz w:val="21"/>
                <w:szCs w:val="21"/>
                <w:b w:val="1"/>
                <w:bCs w:val="1"/>
                <w:color w:val="auto"/>
                <w:w w:val="84"/>
                <w:vertAlign w:val="superscript"/>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September 30, 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December 31, 2021</w:t>
            </w:r>
          </w:p>
        </w:tc>
      </w:tr>
      <w:tr>
        <w:trPr>
          <w:trHeight w:val="209"/>
        </w:trPr>
        <w:tc>
          <w:tcPr>
            <w:tcW w:w="668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1.65% Unsecured notes due 2026</w:t>
            </w:r>
            <w:r>
              <w:rPr>
                <w:rFonts w:ascii="Arial" w:cs="Arial" w:eastAsia="Arial" w:hAnsi="Arial"/>
                <w:sz w:val="21"/>
                <w:szCs w:val="21"/>
                <w:color w:val="auto"/>
                <w:vertAlign w:val="superscript"/>
              </w:rPr>
              <w:t>(2)</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16"/>
        </w:trPr>
        <w:tc>
          <w:tcPr>
            <w:tcW w:w="66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2.65% Unsecured notes due 2031</w:t>
            </w:r>
            <w:r>
              <w:rPr>
                <w:rFonts w:ascii="Arial" w:cs="Arial" w:eastAsia="Arial" w:hAnsi="Arial"/>
                <w:sz w:val="21"/>
                <w:szCs w:val="21"/>
                <w:color w:val="auto"/>
                <w:vertAlign w:val="superscript"/>
              </w:rPr>
              <w:t>(3)</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2.65%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6"/>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Two-Year Term Loan due 2024</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Three-Year Term Loan due 2025</w:t>
            </w:r>
            <w:r>
              <w:rPr>
                <w:rFonts w:ascii="Arial" w:cs="Arial" w:eastAsia="Arial" w:hAnsi="Arial"/>
                <w:sz w:val="21"/>
                <w:szCs w:val="21"/>
                <w:color w:val="auto"/>
                <w:vertAlign w:val="superscript"/>
              </w:rPr>
              <w:t>(4)</w:t>
            </w:r>
          </w:p>
        </w:tc>
        <w:tc>
          <w:tcPr>
            <w:tcW w:w="880" w:type="dxa"/>
            <w:vAlign w:val="bottom"/>
          </w:tcPr>
          <w:p>
            <w:pPr>
              <w:jc w:val="center"/>
              <w:spacing w:after="0"/>
              <w:rPr>
                <w:sz w:val="20"/>
                <w:szCs w:val="20"/>
                <w:color w:val="auto"/>
              </w:rPr>
            </w:pPr>
            <w:r>
              <w:rPr>
                <w:rFonts w:ascii="Arial" w:cs="Arial" w:eastAsia="Arial" w:hAnsi="Arial"/>
                <w:sz w:val="16"/>
                <w:szCs w:val="16"/>
                <w:color w:val="auto"/>
                <w:w w:val="92"/>
              </w:rPr>
              <w:t>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Five-Year Term Loan due 2027</w:t>
            </w:r>
            <w:r>
              <w:rPr>
                <w:rFonts w:ascii="Arial" w:cs="Arial" w:eastAsia="Arial" w:hAnsi="Arial"/>
                <w:sz w:val="21"/>
                <w:szCs w:val="21"/>
                <w:color w:val="auto"/>
                <w:vertAlign w:val="superscript"/>
              </w:rPr>
              <w:t>(4)</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Finance leases and other</w:t>
            </w:r>
          </w:p>
        </w:tc>
        <w:tc>
          <w:tcPr>
            <w:tcW w:w="9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12"/>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debt and obligations under finance leases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r>
      <w:tr>
        <w:trPr>
          <w:trHeight w:val="213"/>
        </w:trPr>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Short-term borrowings and obligations under finance leases</w:t>
            </w: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35"/>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long-term debt and obligations under finance leases</w:t>
            </w: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rate as of September 30, 2022.</w:t>
      </w:r>
    </w:p>
    <w:p>
      <w:pPr>
        <w:spacing w:after="0" w:line="2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unamortized debt issuance costs and discount of $3 million as of September 30, 2022 and December 31, 2021.</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unamortized debt issuance costs and discount of $4 million as of September 30, 2022 and December 31, 2021.</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unamortized debt issuance costs of $1 million as of September 30, 2022.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Five-Year Term Loan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25, 2022, the Company entered into a five-year unsecured Term Loan (the “Five-Year Term Loan”) that provided a $500 million unsecured term loan facility to fund the Clipper Acquisition. On May 26, 2022, the Company borrowed $500 million that will mature on May 26, 2027. The loan bears interest at a fluctuating rate per annum equal to, at the Company’s option, the alternate base rate or the adjusted Secured Overnight Financing Rate (SOFR), plus an applicable margin based on the Company’s credit ratings.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Delayed Draw Term Loan</w:t>
      </w:r>
    </w:p>
    <w:p>
      <w:pPr>
        <w:spacing w:after="0" w:line="23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On March 22, 2022, the Company entered into an unsecured delayed draw Term Loan (the “Delayed Draw Term Loan”) that provided a £375 million unsecured term loan facility to fund the Clipper Acquisition. The loan was available to the Company in U.S. dollars or British pounds sterling. On May 26, 2022, the Company borrowed, in U.S. dollars, a $165 million 2-year term loan tranche (the “Two-Year Term Loan”) and a $235 million 3-year term loan tranche (the “Three-Year Term Loan”) that will mature on May 26, 2024 and May 26, 2025, respectively. Loans bear interest at a fluctuating rate per annum equal to, at the Company’s option, the alternate base rate or the adjusted SOFR, plus an applicable margin based on the Company’s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Bridge Term Loan</w:t>
      </w:r>
    </w:p>
    <w:p>
      <w:pPr>
        <w:spacing w:after="0" w:line="239"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On February 28, 2022, the Company entered into an unsecured Bridge Term Loan (the “Bridge Term Loan”) that provided a £745 million unsecured term loan facility to fund the Clipper Acquisition. The commitments under the Bridge Term Loan were terminated with the effectiveness of the Five-Year Term Loan and the Delayed Draw Term Loan. No amounts were drawn under the Bridge Term Loan.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2021, the Company entered into a five-year unsecured multi-currency Revolving Credit Facility (the “Revolving Credit Facility”). The Revolving Credit Facility provides commitments of up to $800 million, of which $60 million is available for the issuance of letters of credit. No amounts were outstanding under the Revolving Credit Facility as of September 30, 2022 or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Certain Receivables</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sells certain of its trade accounts receivables on a non-recourse basis to third-party financial institutions under various factoring agreements. The Company also sold certain European trade accounts receivables under a securitization program. In the first quarter of 2022, the Company terminated its securitization program. The Company accounts for these transactions as sales of receivables and presents cash proceeds as cash provided by operating activities in the Condensed Consolidated Statements of Cash Flows. The Company uses the sale of certain receivables to help manage its working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80" w:type="dxa"/>
            <w:vAlign w:val="bottom"/>
          </w:tcPr>
          <w:p>
            <w:pPr>
              <w:spacing w:after="0"/>
              <w:rPr>
                <w:sz w:val="18"/>
                <w:szCs w:val="18"/>
                <w:color w:val="auto"/>
              </w:rPr>
            </w:pPr>
          </w:p>
        </w:tc>
        <w:tc>
          <w:tcPr>
            <w:tcW w:w="22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Factoring agreements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Receivables sold in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Securitization program</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Receivables sold in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r>
      <w:tr>
        <w:trPr>
          <w:trHeight w:val="210"/>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Cash consideration</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1,320</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covenants in the Revolving Credit Facility, the Five-Year Term Loan and the Delayed Draw Term Loan, which are customary for financings of this type, limit the Company’s ability to incur indebtedness and grant liens, among other restrictions. In addition, the facilities require the Company to maintain a consolidated leverage ratio below a specified maximum.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Company was in compliance with the covenants contained in its debt and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and Financial Instruments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ind w:left="660" w:right="12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 w:lineRule="exact"/>
        <w:rPr>
          <w:rFonts w:ascii="Arial" w:cs="Arial" w:eastAsia="Arial" w:hAnsi="Arial"/>
          <w:sz w:val="18"/>
          <w:szCs w:val="18"/>
          <w:color w:val="auto"/>
        </w:rPr>
      </w:pPr>
    </w:p>
    <w:p>
      <w:pPr>
        <w:ind w:left="660" w:right="88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bases its fair value estimates on market assumptions and available information. The carrying values of cash and cash equivalents, accounts receivable, accounts payable, accrued expenses and current maturities of long-term debt approximated their fair values as of September 30, 2022 and December 31, 2021, due to their short-term 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debt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September 30, 2022</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 2021</w:t>
            </w:r>
          </w:p>
        </w:tc>
        <w:tc>
          <w:tcPr>
            <w:tcW w:w="460" w:type="dxa"/>
            <w:vAlign w:val="bottom"/>
            <w:tcBorders>
              <w:bottom w:val="single" w:sz="8" w:color="auto"/>
            </w:tcBorders>
          </w:tcPr>
          <w:p>
            <w:pPr>
              <w:spacing w:after="0"/>
              <w:rPr>
                <w:sz w:val="18"/>
                <w:szCs w:val="18"/>
                <w:color w:val="auto"/>
              </w:rPr>
            </w:pPr>
          </w:p>
        </w:tc>
      </w:tr>
      <w:tr>
        <w:trPr>
          <w:trHeight w:val="21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Level</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Carrying Value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Carrying Value</w:t>
            </w:r>
          </w:p>
        </w:tc>
      </w:tr>
      <w:tr>
        <w:trPr>
          <w:trHeight w:val="21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1.65% Unsecured notes due 2026</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13"/>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2.65% Unsecured notes due 2031</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Two-Year Term Loan due 2024</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Three-Year Term Loan due 2025</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Five-Year Term Loan due 2027</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5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 The objective of these derivative instruments is to reduce fluctuations in earnings and cash flows associated with changes in foreign currency exchange rates and interest rates. These financial instruments are not used for trading or other speculative purposes. The Company does not expect to incur any losses as a result of counterparty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uses fixed-to-fixed or variable-to-variable cross-currency swap agreements to hedge its net investments in foreign operations against future volatility in the exchange rates between the U.S. dollar and the associated foreign currencies. The Company designated these cross-currency swap agreements as qualifying hedging instruments and accounts for them as net investment hedges.</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first quarter of 2022, the Company extended certain fixed-to-fixed cross-currency swap agreements scheduled to mature between 2022 to 2027, with an aggregate notional amount of $322 million. In the second quarter of 2022, the Company extended a fixed-to-fixed cross-currency swap agreement scheduled to mature in 2026 to 2027, with an aggregate notional amount of $165 million. Additionally, in the second quarter of 2022, the Company entered into multiple cross-currency swap agreements with maturity dates ranging from 2023 to 2027, with an aggregate notional amount of $900 million, of which $250 million and $165 million were amended during the second and third quarters of 2022, respectively. In connection with the extensions and amendments, the Company received cash of $16 million and $28 million representing the fair value of the swap plus interest accrued through the date of termination for the three and nine months ended September 30, 2022, respectively. In November 2022, the Company amended certain fixed-to-fixed cross-currency swap agreements scheduled to mature in 2027 to 2026, with an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aggregate notional amount of $322 million, the amendments were not material to the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2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uses interest rate swap agreements to hedge the variability of cash flows resulting from floating interest rate borrowings. The Company designated these interest rate swap agreements as qualifying hedging instruments and accounts for them as cash flow hedges. When an interest rate swap agreement qualifies for hedge accounting as a cash flow hedge, the changes in the fair value are recorded in equity as a component of Accumulated Other Comprehensive Income (“AOCI”) and are reclassified into Interest expense, net over the life of the underlying debt, as interest on the Company’s floating rate debt is accrued. In the second quarter of 2022, the Company entered into multiple interest rate swap agreements with an aggregate notional amount of $250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5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is exposed to certain risks relating to its ongoing business operations including foreign currency exchange rate risk. The Company uses foreign currency option contracts to mitigate the risk of a reduction in the value of earnings from its operations that use the Euro or British pound sterling as their functional currency. Additionally, the Company uses foreign currency forward contracts to mitigate exposure from variability of cash flows related to the forecasted interest and principal payments on intercompany loans. The foreign currency forward contracts generally expire within 12 months. While these derivatives are hedging the fluctuations in foreign currencies, they do not meet the requirements to be accounted for as hedging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derivative instruments and the related notional amounts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Notional</w:t>
            </w:r>
          </w:p>
        </w:tc>
        <w:tc>
          <w:tcPr>
            <w:tcW w:w="18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3"/>
                <w:szCs w:val="13"/>
                <w:color w:val="auto"/>
              </w:rPr>
            </w:pPr>
          </w:p>
        </w:tc>
        <w:tc>
          <w:tcPr>
            <w:tcW w:w="11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Notional</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Balance Sheet Caption</w:t>
            </w:r>
          </w:p>
        </w:tc>
        <w:tc>
          <w:tcPr>
            <w:tcW w:w="0" w:type="dxa"/>
            <w:vAlign w:val="bottom"/>
          </w:tcPr>
          <w:p>
            <w:pPr>
              <w:spacing w:after="0"/>
              <w:rPr>
                <w:sz w:val="1"/>
                <w:szCs w:val="1"/>
                <w:color w:val="auto"/>
              </w:rPr>
            </w:pPr>
          </w:p>
        </w:tc>
      </w:tr>
      <w:tr>
        <w:trPr>
          <w:trHeight w:val="84"/>
        </w:trPr>
        <w:tc>
          <w:tcPr>
            <w:tcW w:w="3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Cross-currency swap agreements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0" w:type="dxa"/>
            <w:vAlign w:val="bottom"/>
          </w:tcPr>
          <w:p>
            <w:pPr>
              <w:spacing w:after="0"/>
              <w:rPr>
                <w:sz w:val="1"/>
                <w:szCs w:val="1"/>
                <w:color w:val="auto"/>
              </w:rPr>
            </w:pPr>
          </w:p>
        </w:tc>
      </w:tr>
      <w:tr>
        <w:trPr>
          <w:trHeight w:val="213"/>
        </w:trPr>
        <w:tc>
          <w:tcPr>
            <w:tcW w:w="3620" w:type="dxa"/>
            <w:vAlign w:val="bottom"/>
            <w:gridSpan w:val="2"/>
          </w:tcPr>
          <w:p>
            <w:pPr>
              <w:ind w:left="140"/>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44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gridSpan w:val="2"/>
          </w:tcPr>
          <w:p>
            <w:pPr>
              <w:ind w:left="140"/>
              <w:spacing w:after="0"/>
              <w:rPr>
                <w:sz w:val="20"/>
                <w:szCs w:val="20"/>
                <w:color w:val="auto"/>
              </w:rPr>
            </w:pPr>
            <w:r>
              <w:rPr>
                <w:rFonts w:ascii="Arial" w:cs="Arial" w:eastAsia="Arial" w:hAnsi="Arial"/>
                <w:sz w:val="16"/>
                <w:szCs w:val="16"/>
                <w:color w:val="auto"/>
              </w:rPr>
              <w:t>Cross-currency swap agreements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Cross-currency swap agreements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89"/>
              </w:rPr>
              <w:t>11</w:t>
            </w:r>
          </w:p>
        </w:tc>
        <w:tc>
          <w:tcPr>
            <w:tcW w:w="10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option contracts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September 30, 2022 and December 31, 2021, the derivatives were classified as Level 2 within the fair value hierarchy. The derivatives are valued using inputs other than quoted prices such as foreign exchange rates and yield curves.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Derivatives designated as hedges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effect of hedges on AOCI and in the Condensed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3"/>
              </w:rPr>
              <w:t>Three Months Ended September 30, 2022</w:t>
            </w:r>
          </w:p>
        </w:tc>
        <w:tc>
          <w:tcPr>
            <w:tcW w:w="80" w:type="dxa"/>
            <w:vAlign w:val="bottom"/>
          </w:tcPr>
          <w:p>
            <w:pPr>
              <w:spacing w:after="0"/>
              <w:rPr>
                <w:sz w:val="16"/>
                <w:szCs w:val="16"/>
                <w:color w:val="auto"/>
              </w:rPr>
            </w:pPr>
          </w:p>
        </w:tc>
        <w:tc>
          <w:tcPr>
            <w:tcW w:w="4440" w:type="dxa"/>
            <w:vAlign w:val="bottom"/>
            <w:gridSpan w:val="7"/>
          </w:tcPr>
          <w:p>
            <w:pPr>
              <w:jc w:val="center"/>
              <w:ind w:right="15"/>
              <w:spacing w:after="0"/>
              <w:rPr>
                <w:sz w:val="20"/>
                <w:szCs w:val="20"/>
                <w:color w:val="auto"/>
              </w:rPr>
            </w:pPr>
            <w:r>
              <w:rPr>
                <w:rFonts w:ascii="Arial" w:cs="Arial" w:eastAsia="Arial" w:hAnsi="Arial"/>
                <w:sz w:val="14"/>
                <w:szCs w:val="14"/>
                <w:b w:val="1"/>
                <w:bCs w:val="1"/>
                <w:color w:val="auto"/>
                <w:w w:val="93"/>
              </w:rPr>
              <w:t>Nine Months Ended September 30, 2022</w:t>
            </w:r>
          </w:p>
        </w:tc>
        <w:tc>
          <w:tcPr>
            <w:tcW w:w="0" w:type="dxa"/>
            <w:vAlign w:val="bottom"/>
          </w:tcPr>
          <w:p>
            <w:pPr>
              <w:spacing w:after="0"/>
              <w:rPr>
                <w:sz w:val="1"/>
                <w:szCs w:val="1"/>
                <w:color w:val="auto"/>
              </w:rPr>
            </w:pPr>
          </w:p>
        </w:tc>
      </w:tr>
      <w:tr>
        <w:trPr>
          <w:trHeight w:val="26"/>
        </w:trPr>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0"/>
              </w:rPr>
              <w:t>Amount of Gain</w:t>
            </w: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b w:val="1"/>
                <w:bCs w:val="1"/>
                <w:color w:val="auto"/>
                <w:w w:val="88"/>
              </w:rPr>
              <w:t>Gain Recognized in Net</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0"/>
              </w:rPr>
              <w:t>Amount of Gain</w:t>
            </w: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3"/>
                <w:szCs w:val="13"/>
                <w:b w:val="1"/>
                <w:bCs w:val="1"/>
                <w:color w:val="auto"/>
                <w:w w:val="88"/>
              </w:rPr>
              <w:t>Gain Recognized in Net</w:t>
            </w: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6"/>
              </w:rPr>
              <w:t>Recognized in Other</w:t>
            </w:r>
          </w:p>
        </w:tc>
        <w:tc>
          <w:tcPr>
            <w:tcW w:w="100" w:type="dxa"/>
            <w:vAlign w:val="bottom"/>
          </w:tcPr>
          <w:p>
            <w:pPr>
              <w:spacing w:after="0"/>
              <w:rPr>
                <w:sz w:val="11"/>
                <w:szCs w:val="11"/>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Gain Reclassified from</w:t>
            </w: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6"/>
              </w:rPr>
              <w:t>Income on Derivatives</w:t>
            </w:r>
          </w:p>
        </w:tc>
        <w:tc>
          <w:tcPr>
            <w:tcW w:w="80" w:type="dxa"/>
            <w:vAlign w:val="bottom"/>
          </w:tcPr>
          <w:p>
            <w:pPr>
              <w:spacing w:after="0"/>
              <w:rPr>
                <w:sz w:val="11"/>
                <w:szCs w:val="11"/>
                <w:color w:val="auto"/>
              </w:rPr>
            </w:pPr>
          </w:p>
        </w:tc>
        <w:tc>
          <w:tcPr>
            <w:tcW w:w="146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8"/>
              </w:rPr>
              <w:t>Recognized in Other</w:t>
            </w:r>
          </w:p>
        </w:tc>
        <w:tc>
          <w:tcPr>
            <w:tcW w:w="100" w:type="dxa"/>
            <w:vAlign w:val="bottom"/>
          </w:tcPr>
          <w:p>
            <w:pPr>
              <w:spacing w:after="0"/>
              <w:rPr>
                <w:sz w:val="11"/>
                <w:szCs w:val="11"/>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Gain Reclassified from</w:t>
            </w:r>
          </w:p>
        </w:tc>
        <w:tc>
          <w:tcPr>
            <w:tcW w:w="100" w:type="dxa"/>
            <w:vAlign w:val="bottom"/>
          </w:tcPr>
          <w:p>
            <w:pPr>
              <w:spacing w:after="0"/>
              <w:rPr>
                <w:sz w:val="11"/>
                <w:szCs w:val="11"/>
                <w:color w:val="auto"/>
              </w:rPr>
            </w:pPr>
          </w:p>
        </w:tc>
        <w:tc>
          <w:tcPr>
            <w:tcW w:w="1340" w:type="dxa"/>
            <w:vAlign w:val="bottom"/>
          </w:tcPr>
          <w:p>
            <w:pPr>
              <w:jc w:val="center"/>
              <w:ind w:right="35"/>
              <w:spacing w:after="0" w:line="131" w:lineRule="exact"/>
              <w:rPr>
                <w:sz w:val="20"/>
                <w:szCs w:val="20"/>
                <w:color w:val="auto"/>
              </w:rPr>
            </w:pPr>
            <w:r>
              <w:rPr>
                <w:rFonts w:ascii="Arial" w:cs="Arial" w:eastAsia="Arial" w:hAnsi="Arial"/>
                <w:sz w:val="13"/>
                <w:szCs w:val="13"/>
                <w:b w:val="1"/>
                <w:bCs w:val="1"/>
                <w:color w:val="auto"/>
                <w:w w:val="86"/>
              </w:rPr>
              <w:t>Income on Derivatives</w:t>
            </w:r>
          </w:p>
        </w:tc>
        <w:tc>
          <w:tcPr>
            <w:tcW w:w="0" w:type="dxa"/>
            <w:vAlign w:val="bottom"/>
          </w:tcPr>
          <w:p>
            <w:pPr>
              <w:spacing w:after="0"/>
              <w:rPr>
                <w:sz w:val="1"/>
                <w:szCs w:val="1"/>
                <w:color w:val="auto"/>
              </w:rPr>
            </w:pPr>
          </w:p>
        </w:tc>
      </w:tr>
      <w:tr>
        <w:trPr>
          <w:trHeight w:val="126"/>
        </w:trPr>
        <w:tc>
          <w:tcPr>
            <w:tcW w:w="218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7"/>
              </w:rPr>
              <w:t>Comprehensive Income</w:t>
            </w:r>
          </w:p>
        </w:tc>
        <w:tc>
          <w:tcPr>
            <w:tcW w:w="1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8"/>
              </w:rPr>
              <w:t>(Excluded from</w:t>
            </w:r>
          </w:p>
        </w:tc>
        <w:tc>
          <w:tcPr>
            <w:tcW w:w="80" w:type="dxa"/>
            <w:vAlign w:val="bottom"/>
          </w:tcPr>
          <w:p>
            <w:pPr>
              <w:spacing w:after="0"/>
              <w:rPr>
                <w:sz w:val="10"/>
                <w:szCs w:val="10"/>
                <w:color w:val="auto"/>
              </w:rPr>
            </w:pPr>
          </w:p>
        </w:tc>
        <w:tc>
          <w:tcPr>
            <w:tcW w:w="14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7"/>
              </w:rPr>
              <w:t>Comprehensive Income</w:t>
            </w:r>
          </w:p>
        </w:tc>
        <w:tc>
          <w:tcPr>
            <w:tcW w:w="1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ind w:right="35"/>
              <w:spacing w:after="0" w:line="126"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76"/>
        </w:trPr>
        <w:tc>
          <w:tcPr>
            <w:tcW w:w="2180" w:type="dxa"/>
            <w:vAlign w:val="bottom"/>
            <w:gridSpan w:val="3"/>
            <w:vMerge w:val="continue"/>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on Derivatives</w:t>
            </w:r>
          </w:p>
        </w:tc>
        <w:tc>
          <w:tcPr>
            <w:tcW w:w="1540" w:type="dxa"/>
            <w:vAlign w:val="bottom"/>
            <w:gridSpan w:val="3"/>
          </w:tcPr>
          <w:p>
            <w:pPr>
              <w:jc w:val="center"/>
              <w:ind w:right="100"/>
              <w:spacing w:after="0" w:line="175" w:lineRule="exact"/>
              <w:rPr>
                <w:sz w:val="20"/>
                <w:szCs w:val="20"/>
                <w:color w:val="auto"/>
              </w:rPr>
            </w:pPr>
            <w:r>
              <w:rPr>
                <w:rFonts w:ascii="Arial" w:cs="Arial" w:eastAsia="Arial" w:hAnsi="Arial"/>
                <w:sz w:val="13"/>
                <w:szCs w:val="13"/>
                <w:b w:val="1"/>
                <w:bCs w:val="1"/>
                <w:color w:val="auto"/>
                <w:w w:val="89"/>
              </w:rPr>
              <w:t>AOCI into Net Income</w:t>
            </w:r>
            <w:r>
              <w:rPr>
                <w:rFonts w:ascii="Arial" w:cs="Arial" w:eastAsia="Arial" w:hAnsi="Arial"/>
                <w:sz w:val="16"/>
                <w:szCs w:val="16"/>
                <w:b w:val="1"/>
                <w:bCs w:val="1"/>
                <w:color w:val="auto"/>
                <w:w w:val="89"/>
                <w:vertAlign w:val="superscript"/>
              </w:rPr>
              <w:t>(1)</w:t>
            </w:r>
          </w:p>
        </w:tc>
        <w:tc>
          <w:tcPr>
            <w:tcW w:w="100" w:type="dxa"/>
            <w:vAlign w:val="bottom"/>
          </w:tcPr>
          <w:p>
            <w:pPr>
              <w:spacing w:after="0"/>
              <w:rPr>
                <w:sz w:val="15"/>
                <w:szCs w:val="15"/>
                <w:color w:val="auto"/>
              </w:rPr>
            </w:pPr>
          </w:p>
        </w:tc>
        <w:tc>
          <w:tcPr>
            <w:tcW w:w="1440" w:type="dxa"/>
            <w:vAlign w:val="bottom"/>
            <w:gridSpan w:val="2"/>
          </w:tcPr>
          <w:p>
            <w:pPr>
              <w:jc w:val="center"/>
              <w:ind w:right="200"/>
              <w:spacing w:after="0" w:line="175" w:lineRule="exact"/>
              <w:rPr>
                <w:sz w:val="20"/>
                <w:szCs w:val="20"/>
                <w:color w:val="auto"/>
              </w:rPr>
            </w:pPr>
            <w:r>
              <w:rPr>
                <w:rFonts w:ascii="Arial" w:cs="Arial" w:eastAsia="Arial" w:hAnsi="Arial"/>
                <w:sz w:val="13"/>
                <w:szCs w:val="13"/>
                <w:b w:val="1"/>
                <w:bCs w:val="1"/>
                <w:color w:val="auto"/>
                <w:w w:val="82"/>
              </w:rPr>
              <w:t>effectiveness testing)</w:t>
            </w:r>
            <w:r>
              <w:rPr>
                <w:rFonts w:ascii="Arial" w:cs="Arial" w:eastAsia="Arial" w:hAnsi="Arial"/>
                <w:sz w:val="16"/>
                <w:szCs w:val="16"/>
                <w:b w:val="1"/>
                <w:bCs w:val="1"/>
                <w:color w:val="auto"/>
                <w:w w:val="82"/>
                <w:vertAlign w:val="superscript"/>
              </w:rPr>
              <w:t>(1)</w:t>
            </w:r>
          </w:p>
        </w:tc>
        <w:tc>
          <w:tcPr>
            <w:tcW w:w="80" w:type="dxa"/>
            <w:vAlign w:val="bottom"/>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on Derivatives</w:t>
            </w:r>
          </w:p>
        </w:tc>
        <w:tc>
          <w:tcPr>
            <w:tcW w:w="1540" w:type="dxa"/>
            <w:vAlign w:val="bottom"/>
            <w:gridSpan w:val="3"/>
          </w:tcPr>
          <w:p>
            <w:pPr>
              <w:jc w:val="center"/>
              <w:ind w:right="100"/>
              <w:spacing w:after="0" w:line="175" w:lineRule="exact"/>
              <w:rPr>
                <w:sz w:val="20"/>
                <w:szCs w:val="20"/>
                <w:color w:val="auto"/>
              </w:rPr>
            </w:pPr>
            <w:r>
              <w:rPr>
                <w:rFonts w:ascii="Arial" w:cs="Arial" w:eastAsia="Arial" w:hAnsi="Arial"/>
                <w:sz w:val="13"/>
                <w:szCs w:val="13"/>
                <w:b w:val="1"/>
                <w:bCs w:val="1"/>
                <w:color w:val="auto"/>
                <w:w w:val="89"/>
              </w:rPr>
              <w:t>AOCI into Net Income</w:t>
            </w:r>
            <w:r>
              <w:rPr>
                <w:rFonts w:ascii="Arial" w:cs="Arial" w:eastAsia="Arial" w:hAnsi="Arial"/>
                <w:sz w:val="16"/>
                <w:szCs w:val="16"/>
                <w:b w:val="1"/>
                <w:bCs w:val="1"/>
                <w:color w:val="auto"/>
                <w:w w:val="89"/>
                <w:vertAlign w:val="superscript"/>
              </w:rPr>
              <w:t>(1)</w:t>
            </w:r>
          </w:p>
        </w:tc>
        <w:tc>
          <w:tcPr>
            <w:tcW w:w="100" w:type="dxa"/>
            <w:vAlign w:val="bottom"/>
          </w:tcPr>
          <w:p>
            <w:pPr>
              <w:spacing w:after="0"/>
              <w:rPr>
                <w:sz w:val="15"/>
                <w:szCs w:val="15"/>
                <w:color w:val="auto"/>
              </w:rPr>
            </w:pPr>
          </w:p>
        </w:tc>
        <w:tc>
          <w:tcPr>
            <w:tcW w:w="1340" w:type="dxa"/>
            <w:vAlign w:val="bottom"/>
          </w:tcPr>
          <w:p>
            <w:pPr>
              <w:jc w:val="center"/>
              <w:ind w:right="35"/>
              <w:spacing w:after="0" w:line="175" w:lineRule="exact"/>
              <w:rPr>
                <w:sz w:val="20"/>
                <w:szCs w:val="20"/>
                <w:color w:val="auto"/>
              </w:rPr>
            </w:pPr>
            <w:r>
              <w:rPr>
                <w:rFonts w:ascii="Arial" w:cs="Arial" w:eastAsia="Arial" w:hAnsi="Arial"/>
                <w:sz w:val="13"/>
                <w:szCs w:val="13"/>
                <w:b w:val="1"/>
                <w:bCs w:val="1"/>
                <w:color w:val="auto"/>
                <w:w w:val="82"/>
              </w:rPr>
              <w:t>effectiveness testing)</w:t>
            </w:r>
            <w:r>
              <w:rPr>
                <w:rFonts w:ascii="Arial" w:cs="Arial" w:eastAsia="Arial" w:hAnsi="Arial"/>
                <w:sz w:val="16"/>
                <w:szCs w:val="16"/>
                <w:b w:val="1"/>
                <w:bCs w:val="1"/>
                <w:color w:val="auto"/>
                <w:w w:val="82"/>
                <w:vertAlign w:val="superscript"/>
              </w:rPr>
              <w:t>(1)</w:t>
            </w:r>
          </w:p>
        </w:tc>
        <w:tc>
          <w:tcPr>
            <w:tcW w:w="0" w:type="dxa"/>
            <w:vAlign w:val="bottom"/>
          </w:tcPr>
          <w:p>
            <w:pPr>
              <w:spacing w:after="0"/>
              <w:rPr>
                <w:sz w:val="1"/>
                <w:szCs w:val="1"/>
                <w:color w:val="auto"/>
              </w:rPr>
            </w:pPr>
          </w:p>
        </w:tc>
      </w:tr>
      <w:tr>
        <w:trPr>
          <w:trHeight w:val="133"/>
        </w:trPr>
        <w:tc>
          <w:tcPr>
            <w:tcW w:w="200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w w:val="99"/>
              </w:rPr>
              <w:t>Derivatives designated as net</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180" w:type="dxa"/>
            <w:vAlign w:val="bottom"/>
            <w:gridSpan w:val="3"/>
          </w:tcPr>
          <w:p>
            <w:pPr>
              <w:ind w:left="180"/>
              <w:spacing w:after="0"/>
              <w:rPr>
                <w:sz w:val="20"/>
                <w:szCs w:val="20"/>
                <w:color w:val="auto"/>
              </w:rPr>
            </w:pPr>
            <w:r>
              <w:rPr>
                <w:rFonts w:ascii="Arial" w:cs="Arial" w:eastAsia="Arial" w:hAnsi="Arial"/>
                <w:sz w:val="14"/>
                <w:szCs w:val="14"/>
                <w:b w:val="1"/>
                <w:bCs w:val="1"/>
                <w:color w:val="auto"/>
              </w:rPr>
              <w:t>investment hedges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93"/>
              </w:rPr>
              <w:t>Cross-currency swap agreements   $</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line="231" w:lineRule="auto"/>
        <w:rPr>
          <w:sz w:val="20"/>
          <w:szCs w:val="20"/>
          <w:color w:val="auto"/>
        </w:rPr>
      </w:pPr>
      <w:r>
        <w:rPr>
          <w:rFonts w:ascii="Arial" w:cs="Arial" w:eastAsia="Arial" w:hAnsi="Arial"/>
          <w:sz w:val="14"/>
          <w:szCs w:val="14"/>
          <w:b w:val="1"/>
          <w:bCs w:val="1"/>
          <w:color w:val="auto"/>
        </w:rPr>
        <w:t>Derivatives designated as cash</w:t>
      </w:r>
    </w:p>
    <w:p>
      <w:pPr>
        <w:ind w:left="180"/>
        <w:spacing w:after="0"/>
        <w:rPr>
          <w:sz w:val="20"/>
          <w:szCs w:val="20"/>
          <w:color w:val="auto"/>
        </w:rPr>
      </w:pPr>
      <w:r>
        <w:rPr>
          <w:rFonts w:ascii="Arial" w:cs="Arial" w:eastAsia="Arial" w:hAnsi="Arial"/>
          <w:sz w:val="14"/>
          <w:szCs w:val="14"/>
          <w:b w:val="1"/>
          <w:bCs w:val="1"/>
          <w:color w:val="auto"/>
        </w:rPr>
        <w:t>flow hedges</w:t>
      </w:r>
    </w:p>
    <w:p>
      <w:pPr>
        <w:spacing w:after="0" w:line="16" w:lineRule="exact"/>
        <w:rPr>
          <w:sz w:val="20"/>
          <w:szCs w:val="20"/>
          <w:color w:val="auto"/>
        </w:rPr>
      </w:pPr>
    </w:p>
    <w:p>
      <w:pPr>
        <w:ind w:left="20"/>
        <w:spacing w:after="0"/>
        <w:tabs>
          <w:tab w:leader="none" w:pos="2100" w:val="left"/>
          <w:tab w:leader="none" w:pos="3320" w:val="left"/>
          <w:tab w:leader="none" w:pos="3640" w:val="left"/>
          <w:tab w:leader="none" w:pos="4860" w:val="left"/>
          <w:tab w:leader="none" w:pos="5180" w:val="left"/>
          <w:tab w:leader="none" w:pos="6400" w:val="left"/>
          <w:tab w:leader="none" w:pos="6720" w:val="left"/>
          <w:tab w:leader="none" w:pos="7940" w:val="left"/>
          <w:tab w:leader="none" w:pos="8260" w:val="left"/>
          <w:tab w:leader="none" w:pos="9480" w:val="left"/>
          <w:tab w:leader="none" w:pos="9800" w:val="left"/>
          <w:tab w:leader="none" w:pos="11020" w:val="left"/>
        </w:tabs>
        <w:rPr>
          <w:sz w:val="20"/>
          <w:szCs w:val="20"/>
          <w:color w:val="auto"/>
        </w:rPr>
      </w:pPr>
      <w:r>
        <w:rPr>
          <w:rFonts w:ascii="Arial" w:cs="Arial" w:eastAsia="Arial" w:hAnsi="Arial"/>
          <w:sz w:val="14"/>
          <w:szCs w:val="14"/>
          <w:color w:val="auto"/>
        </w:rPr>
        <w:t>Interest rate swaps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12</w:t>
        <w:tab/>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11</w:t>
        <w:tab/>
        <w:t>$</w:t>
      </w:r>
      <w:r>
        <w:rPr>
          <w:sz w:val="20"/>
          <w:szCs w:val="20"/>
          <w:color w:val="auto"/>
        </w:rPr>
        <w:tab/>
      </w:r>
      <w:r>
        <w:rPr>
          <w:rFonts w:ascii="Arial" w:cs="Arial" w:eastAsia="Arial" w:hAnsi="Arial"/>
          <w:sz w:val="14"/>
          <w:szCs w:val="14"/>
          <w:color w:val="auto"/>
        </w:rPr>
        <w:t>—</w:t>
        <w:tab/>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Amounts reclassified to Net income are reported within Interest expense, net in the Condensed Consolidated Statements of Operations.</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4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4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 September 30, 2021</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80" w:type="dxa"/>
            <w:vAlign w:val="bottom"/>
          </w:tcPr>
          <w:p>
            <w:pPr>
              <w:spacing w:after="0"/>
              <w:rPr>
                <w:sz w:val="10"/>
                <w:szCs w:val="10"/>
                <w:color w:val="auto"/>
              </w:rPr>
            </w:pPr>
          </w:p>
        </w:tc>
        <w:tc>
          <w:tcPr>
            <w:tcW w:w="1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Amount of Gain</w:t>
            </w:r>
          </w:p>
        </w:tc>
        <w:tc>
          <w:tcPr>
            <w:tcW w:w="1560" w:type="dxa"/>
            <w:vAlign w:val="bottom"/>
          </w:tcPr>
          <w:p>
            <w:pPr>
              <w:spacing w:after="0"/>
              <w:rPr>
                <w:sz w:val="10"/>
                <w:szCs w:val="10"/>
                <w:color w:val="auto"/>
              </w:rPr>
            </w:pPr>
          </w:p>
        </w:tc>
        <w:tc>
          <w:tcPr>
            <w:tcW w:w="1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8"/>
              </w:rPr>
              <w:t>Gain Recognized in Net</w:t>
            </w:r>
          </w:p>
        </w:tc>
        <w:tc>
          <w:tcPr>
            <w:tcW w:w="100" w:type="dxa"/>
            <w:vAlign w:val="bottom"/>
          </w:tcPr>
          <w:p>
            <w:pPr>
              <w:spacing w:after="0"/>
              <w:rPr>
                <w:sz w:val="10"/>
                <w:szCs w:val="10"/>
                <w:color w:val="auto"/>
              </w:rPr>
            </w:pPr>
          </w:p>
        </w:tc>
        <w:tc>
          <w:tcPr>
            <w:tcW w:w="1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0"/>
              </w:rPr>
              <w:t>Amount of Gain</w:t>
            </w:r>
          </w:p>
        </w:tc>
        <w:tc>
          <w:tcPr>
            <w:tcW w:w="1560" w:type="dxa"/>
            <w:vAlign w:val="bottom"/>
          </w:tcPr>
          <w:p>
            <w:pPr>
              <w:spacing w:after="0"/>
              <w:rPr>
                <w:sz w:val="10"/>
                <w:szCs w:val="10"/>
                <w:color w:val="auto"/>
              </w:rPr>
            </w:pPr>
          </w:p>
        </w:tc>
        <w:tc>
          <w:tcPr>
            <w:tcW w:w="14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8"/>
              </w:rPr>
              <w:t>Gain Recognized in Net</w:t>
            </w: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14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Recognized in Other</w:t>
            </w: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Gain Reclassified from</w:t>
            </w:r>
          </w:p>
        </w:tc>
        <w:tc>
          <w:tcPr>
            <w:tcW w:w="1580" w:type="dxa"/>
            <w:vAlign w:val="bottom"/>
            <w:gridSpan w:val="2"/>
          </w:tcPr>
          <w:p>
            <w:pPr>
              <w:jc w:val="center"/>
              <w:ind w:right="60"/>
              <w:spacing w:after="0" w:line="126" w:lineRule="exact"/>
              <w:rPr>
                <w:sz w:val="20"/>
                <w:szCs w:val="20"/>
                <w:color w:val="auto"/>
              </w:rPr>
            </w:pPr>
            <w:r>
              <w:rPr>
                <w:rFonts w:ascii="Arial" w:cs="Arial" w:eastAsia="Arial" w:hAnsi="Arial"/>
                <w:sz w:val="13"/>
                <w:szCs w:val="13"/>
                <w:b w:val="1"/>
                <w:bCs w:val="1"/>
                <w:color w:val="auto"/>
                <w:w w:val="86"/>
              </w:rPr>
              <w:t>Income on Derivatives</w:t>
            </w:r>
          </w:p>
        </w:tc>
        <w:tc>
          <w:tcPr>
            <w:tcW w:w="14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8"/>
              </w:rPr>
              <w:t>Recognized in Other</w:t>
            </w: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Gain Reclassified from</w:t>
            </w:r>
          </w:p>
        </w:tc>
        <w:tc>
          <w:tcPr>
            <w:tcW w:w="14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6"/>
              </w:rPr>
              <w:t>Income on Derivatives</w:t>
            </w:r>
          </w:p>
        </w:tc>
        <w:tc>
          <w:tcPr>
            <w:tcW w:w="0" w:type="dxa"/>
            <w:vAlign w:val="bottom"/>
          </w:tcPr>
          <w:p>
            <w:pPr>
              <w:spacing w:after="0"/>
              <w:rPr>
                <w:sz w:val="1"/>
                <w:szCs w:val="1"/>
                <w:color w:val="auto"/>
              </w:rPr>
            </w:pPr>
          </w:p>
        </w:tc>
      </w:tr>
      <w:tr>
        <w:trPr>
          <w:trHeight w:val="122"/>
        </w:trPr>
        <w:tc>
          <w:tcPr>
            <w:tcW w:w="20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4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Comprehensive Income</w:t>
            </w:r>
          </w:p>
        </w:tc>
        <w:tc>
          <w:tcPr>
            <w:tcW w:w="1560" w:type="dxa"/>
            <w:vAlign w:val="bottom"/>
            <w:vMerge w:val="continue"/>
          </w:tcPr>
          <w:p>
            <w:pPr>
              <w:spacing w:after="0"/>
              <w:rPr>
                <w:sz w:val="10"/>
                <w:szCs w:val="10"/>
                <w:color w:val="auto"/>
              </w:rPr>
            </w:pPr>
          </w:p>
        </w:tc>
        <w:tc>
          <w:tcPr>
            <w:tcW w:w="158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8"/>
              </w:rPr>
              <w:t>(Excluded from</w:t>
            </w:r>
          </w:p>
        </w:tc>
        <w:tc>
          <w:tcPr>
            <w:tcW w:w="14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Comprehensive Income</w:t>
            </w:r>
          </w:p>
        </w:tc>
        <w:tc>
          <w:tcPr>
            <w:tcW w:w="1560" w:type="dxa"/>
            <w:vAlign w:val="bottom"/>
            <w:vMerge w:val="continue"/>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96"/>
        </w:trPr>
        <w:tc>
          <w:tcPr>
            <w:tcW w:w="2080" w:type="dxa"/>
            <w:vAlign w:val="bottom"/>
            <w:vMerge w:val="continue"/>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5"/>
              </w:rPr>
              <w:t>on Derivatives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AOCI into Net Income</w:t>
            </w:r>
            <w:r>
              <w:rPr>
                <w:rFonts w:ascii="Arial" w:cs="Arial" w:eastAsia="Arial" w:hAnsi="Arial"/>
                <w:sz w:val="16"/>
                <w:szCs w:val="16"/>
                <w:b w:val="1"/>
                <w:bCs w:val="1"/>
                <w:color w:val="auto"/>
                <w:w w:val="89"/>
                <w:vertAlign w:val="superscript"/>
              </w:rPr>
              <w:t>(1)</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effectiveness testing)</w:t>
            </w:r>
            <w:r>
              <w:rPr>
                <w:rFonts w:ascii="Arial" w:cs="Arial" w:eastAsia="Arial" w:hAnsi="Arial"/>
                <w:sz w:val="16"/>
                <w:szCs w:val="16"/>
                <w:b w:val="1"/>
                <w:bCs w:val="1"/>
                <w:color w:val="auto"/>
                <w:w w:val="82"/>
                <w:vertAlign w:val="superscript"/>
              </w:rPr>
              <w:t>(1)</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5"/>
              </w:rPr>
              <w:t>on Derivatives</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9"/>
              </w:rPr>
              <w:t>AOCI into Net Income</w:t>
            </w:r>
            <w:r>
              <w:rPr>
                <w:rFonts w:ascii="Arial" w:cs="Arial" w:eastAsia="Arial" w:hAnsi="Arial"/>
                <w:sz w:val="16"/>
                <w:szCs w:val="16"/>
                <w:b w:val="1"/>
                <w:bCs w:val="1"/>
                <w:color w:val="auto"/>
                <w:w w:val="89"/>
                <w:vertAlign w:val="superscript"/>
              </w:rPr>
              <w:t>(1)</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2"/>
              </w:rPr>
              <w:t>effectiveness testing)</w:t>
            </w:r>
            <w:r>
              <w:rPr>
                <w:rFonts w:ascii="Arial" w:cs="Arial" w:eastAsia="Arial" w:hAnsi="Arial"/>
                <w:sz w:val="16"/>
                <w:szCs w:val="16"/>
                <w:b w:val="1"/>
                <w:bCs w:val="1"/>
                <w:color w:val="auto"/>
                <w:w w:val="82"/>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line="221" w:lineRule="auto"/>
        <w:rPr>
          <w:sz w:val="20"/>
          <w:szCs w:val="20"/>
          <w:color w:val="auto"/>
        </w:rPr>
      </w:pPr>
      <w:r>
        <w:rPr>
          <w:rFonts w:ascii="Arial" w:cs="Arial" w:eastAsia="Arial" w:hAnsi="Arial"/>
          <w:sz w:val="14"/>
          <w:szCs w:val="14"/>
          <w:b w:val="1"/>
          <w:bCs w:val="1"/>
          <w:color w:val="auto"/>
        </w:rPr>
        <w:t>Derivatives designated as net</w:t>
      </w:r>
    </w:p>
    <w:p>
      <w:pPr>
        <w:ind w:left="180"/>
        <w:spacing w:after="0"/>
        <w:rPr>
          <w:sz w:val="20"/>
          <w:szCs w:val="20"/>
          <w:color w:val="auto"/>
        </w:rPr>
      </w:pPr>
      <w:r>
        <w:rPr>
          <w:rFonts w:ascii="Arial" w:cs="Arial" w:eastAsia="Arial" w:hAnsi="Arial"/>
          <w:sz w:val="14"/>
          <w:szCs w:val="14"/>
          <w:b w:val="1"/>
          <w:bCs w:val="1"/>
          <w:color w:val="auto"/>
        </w:rPr>
        <w:t>investment hedges</w:t>
      </w:r>
    </w:p>
    <w:p>
      <w:pPr>
        <w:spacing w:after="0" w:line="16" w:lineRule="exact"/>
        <w:rPr>
          <w:sz w:val="20"/>
          <w:szCs w:val="20"/>
          <w:color w:val="auto"/>
        </w:rPr>
      </w:pPr>
    </w:p>
    <w:p>
      <w:pPr>
        <w:ind w:left="20"/>
        <w:spacing w:after="0"/>
        <w:tabs>
          <w:tab w:leader="none" w:pos="2100" w:val="left"/>
          <w:tab w:leader="none" w:pos="3320" w:val="left"/>
          <w:tab w:leader="none" w:pos="3640" w:val="left"/>
          <w:tab w:leader="none" w:pos="4920" w:val="left"/>
          <w:tab w:leader="none" w:pos="5180" w:val="left"/>
          <w:tab w:leader="none" w:pos="6460" w:val="left"/>
          <w:tab w:leader="none" w:pos="6720" w:val="left"/>
          <w:tab w:leader="none" w:pos="7940" w:val="left"/>
          <w:tab w:leader="none" w:pos="8260" w:val="left"/>
          <w:tab w:leader="none" w:pos="9540" w:val="left"/>
          <w:tab w:leader="none" w:pos="9800" w:val="left"/>
          <w:tab w:leader="none" w:pos="11080" w:val="left"/>
        </w:tabs>
        <w:rPr>
          <w:sz w:val="20"/>
          <w:szCs w:val="20"/>
          <w:color w:val="auto"/>
        </w:rPr>
      </w:pPr>
      <w:r>
        <w:rPr>
          <w:rFonts w:ascii="Arial" w:cs="Arial" w:eastAsia="Arial" w:hAnsi="Arial"/>
          <w:sz w:val="14"/>
          <w:szCs w:val="14"/>
          <w:color w:val="auto"/>
        </w:rPr>
        <w:t>Cross-currency swap agreements</w:t>
        <w:tab/>
        <w:t>$</w:t>
      </w:r>
      <w:r>
        <w:rPr>
          <w:sz w:val="20"/>
          <w:szCs w:val="20"/>
          <w:color w:val="auto"/>
        </w:rPr>
        <w:tab/>
      </w:r>
      <w:r>
        <w:rPr>
          <w:rFonts w:ascii="Arial" w:cs="Arial" w:eastAsia="Arial" w:hAnsi="Arial"/>
          <w:sz w:val="14"/>
          <w:szCs w:val="14"/>
          <w:color w:val="auto"/>
        </w:rPr>
        <w:t>11</w:t>
        <w:tab/>
        <w:t>$</w:t>
      </w:r>
      <w:r>
        <w:rPr>
          <w:sz w:val="20"/>
          <w:szCs w:val="20"/>
          <w:color w:val="auto"/>
        </w:rPr>
        <w:tab/>
      </w:r>
      <w:r>
        <w:rPr>
          <w:rFonts w:ascii="Arial" w:cs="Arial" w:eastAsia="Arial" w:hAnsi="Arial"/>
          <w:sz w:val="14"/>
          <w:szCs w:val="14"/>
          <w:color w:val="auto"/>
        </w:rPr>
        <w:t>1</w:t>
        <w:tab/>
        <w:t>$</w:t>
      </w:r>
      <w:r>
        <w:rPr>
          <w:sz w:val="20"/>
          <w:szCs w:val="20"/>
          <w:color w:val="auto"/>
        </w:rPr>
        <w:tab/>
      </w:r>
      <w:r>
        <w:rPr>
          <w:rFonts w:ascii="Arial" w:cs="Arial" w:eastAsia="Arial" w:hAnsi="Arial"/>
          <w:sz w:val="14"/>
          <w:szCs w:val="14"/>
          <w:color w:val="auto"/>
        </w:rPr>
        <w:t>1</w:t>
        <w:tab/>
        <w:t>$</w:t>
      </w:r>
      <w:r>
        <w:rPr>
          <w:sz w:val="20"/>
          <w:szCs w:val="20"/>
          <w:color w:val="auto"/>
        </w:rPr>
        <w:tab/>
      </w:r>
      <w:r>
        <w:rPr>
          <w:rFonts w:ascii="Arial" w:cs="Arial" w:eastAsia="Arial" w:hAnsi="Arial"/>
          <w:sz w:val="14"/>
          <w:szCs w:val="14"/>
          <w:color w:val="auto"/>
        </w:rPr>
        <w:t>11</w:t>
        <w:tab/>
        <w:t>$</w:t>
      </w:r>
      <w:r>
        <w:rPr>
          <w:sz w:val="20"/>
          <w:szCs w:val="20"/>
          <w:color w:val="auto"/>
        </w:rPr>
        <w:tab/>
      </w:r>
      <w:r>
        <w:rPr>
          <w:rFonts w:ascii="Arial" w:cs="Arial" w:eastAsia="Arial" w:hAnsi="Arial"/>
          <w:sz w:val="14"/>
          <w:szCs w:val="14"/>
          <w:color w:val="auto"/>
        </w:rPr>
        <w:t>1</w:t>
        <w:tab/>
        <w:t>$</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(1) Amounts reclassified to Net income are reported within Interest expense, net in the Condensed Consolidated Statements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hedges</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Gains and losses recognized in Other income, net in the Condensed Consolidated Statements of Operations for foreign currency options and forward contracts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Realized gain</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Unrealized gain (loss)</w:t>
            </w: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gain recognized in net income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9. Employee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July 2021, the Company became the plan sponsor for a retirement plan in the U.K. (the “U.K. Retirement Plan”). Components of the net periodic benefit cost under the U.K. Retirement Plan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2"/>
              </w:rPr>
              <w:t>Nine Months Ended</w:t>
            </w: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w w:val="89"/>
              </w:rPr>
              <w:t>September 30,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center"/>
              <w:ind w:right="199"/>
              <w:spacing w:after="0"/>
              <w:rPr>
                <w:sz w:val="20"/>
                <w:szCs w:val="20"/>
                <w:color w:val="auto"/>
              </w:rPr>
            </w:pPr>
            <w:r>
              <w:rPr>
                <w:rFonts w:ascii="Arial" w:cs="Arial" w:eastAsia="Arial" w:hAnsi="Arial"/>
                <w:sz w:val="16"/>
                <w:szCs w:val="16"/>
                <w:b w:val="1"/>
                <w:bCs w:val="1"/>
                <w:color w:val="auto"/>
                <w:w w:val="91"/>
              </w:rPr>
              <w:t>September 30,</w:t>
            </w: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91"/>
              </w:rPr>
              <w:t>(16)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(5)</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Expected return on plan assets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89"/>
              </w:rPr>
              <w:t>41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15</w:t>
            </w:r>
          </w:p>
        </w:tc>
      </w:tr>
      <w:tr>
        <w:trPr>
          <w:trHeight w:val="237"/>
        </w:trPr>
        <w:tc>
          <w:tcPr>
            <w:tcW w:w="6120" w:type="dxa"/>
            <w:vAlign w:val="bottom"/>
            <w:tcBorders>
              <w:bottom w:val="single" w:sz="8" w:color="CCEEFF"/>
            </w:tcBorders>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Net periodic benefit income</w:t>
            </w:r>
            <w:r>
              <w:rPr>
                <w:rFonts w:ascii="Arial" w:cs="Arial" w:eastAsia="Arial" w:hAnsi="Arial"/>
                <w:sz w:val="21"/>
                <w:szCs w:val="21"/>
                <w:color w:val="auto"/>
                <w:vertAlign w:val="superscript"/>
              </w:rPr>
              <w:t>(1)</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89"/>
              </w:rPr>
              <w:t>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10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(1) Net periodic benefit income is recorded within Other income, net in the Condensed Consolidated Statements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maintains defined benefit pension plans for other foreign subsidiaries that are excluded from the disclosures due to their immateriality.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costs for qualified defined contribution plans were $4 million for both the three months ended September 30, 2022 and 2021, and $12 million for both the nine months ended September 30, 2022 and 2021. Defined contribution costs were primarily recorded within Direct operating expenses in the Condensed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per share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2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data)</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2021</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2021</w:t>
            </w:r>
            <w:r>
              <w:rPr>
                <w:rFonts w:ascii="Arial" w:cs="Arial" w:eastAsia="Arial" w:hAnsi="Arial"/>
                <w:sz w:val="21"/>
                <w:szCs w:val="21"/>
                <w:b w:val="1"/>
                <w:bCs w:val="1"/>
                <w:color w:val="auto"/>
                <w:vertAlign w:val="superscript"/>
              </w:rPr>
              <w:t>(1)</w:t>
            </w:r>
          </w:p>
        </w:tc>
      </w:tr>
      <w:tr>
        <w:trPr>
          <w:trHeight w:val="21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shares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70"/>
        </w:trPr>
        <w:tc>
          <w:tcPr>
            <w:tcW w:w="6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weighted-average common shares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114,627</w:t>
            </w: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Dilutive effect of stock-based awards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r>
      <w:tr>
        <w:trPr>
          <w:trHeight w:val="21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weighted-average common shares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115,527</w:t>
            </w:r>
          </w:p>
        </w:tc>
      </w:tr>
      <w:tr>
        <w:trPr>
          <w:trHeight w:val="270"/>
        </w:trPr>
        <w:tc>
          <w:tcPr>
            <w:tcW w:w="6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r>
      <w:tr>
        <w:trPr>
          <w:trHeight w:val="21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0.84</w:t>
            </w:r>
          </w:p>
        </w:tc>
      </w:tr>
      <w:tr>
        <w:trPr>
          <w:trHeight w:val="273"/>
        </w:trPr>
        <w:tc>
          <w:tcPr>
            <w:tcW w:w="6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10"/>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Antidilutive shares excluded from diluted weighted-average common shares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36" w:lineRule="exact"/>
        <w:rPr>
          <w:sz w:val="20"/>
          <w:szCs w:val="20"/>
          <w:color w:val="auto"/>
        </w:rPr>
      </w:pPr>
    </w:p>
    <w:p>
      <w:pPr>
        <w:ind w:left="260" w:hanging="252"/>
        <w:spacing w:after="0" w:line="293"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August 2, 2021, 114,626,250 shares of common stock of the Company were distributed and began regular-way trading. This share amount is utilized for the calculation of basic and diluted earnings per share for three and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AOCI by component: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Cash Flow</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Defined Benefit</w:t>
            </w: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Less: AOCI</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AOCI attributable</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attributable to</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Hedges</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Plan</w:t>
            </w:r>
          </w:p>
        </w:tc>
        <w:tc>
          <w:tcPr>
            <w:tcW w:w="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noncontrolling interest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 GXO</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w w:val="91"/>
              </w:rPr>
              <w:t>(76)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Foreign currency translation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left="719"/>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 on hedges, net of tax</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719"/>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Amounts reclassified from AOCI to net income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left="719"/>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center"/>
              <w:ind w:left="779"/>
              <w:spacing w:after="0"/>
              <w:rPr>
                <w:sz w:val="20"/>
                <w:szCs w:val="20"/>
                <w:color w:val="auto"/>
              </w:rPr>
            </w:pPr>
            <w:r>
              <w:rPr>
                <w:rFonts w:ascii="Arial" w:cs="Arial" w:eastAsia="Arial" w:hAnsi="Arial"/>
                <w:sz w:val="16"/>
                <w:szCs w:val="16"/>
                <w:color w:val="auto"/>
                <w:w w:val="91"/>
              </w:rPr>
              <w:t>(76)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Cash Flow</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Defined Benefit</w:t>
            </w: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Less: AOCI</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AOCI attributable</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attributable to</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Hedges</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Plan</w:t>
            </w:r>
          </w:p>
        </w:tc>
        <w:tc>
          <w:tcPr>
            <w:tcW w:w="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noncontrolling interest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 GXO</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w w:val="91"/>
              </w:rPr>
              <w:t>(76)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Foreign currency translation loss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left="719"/>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 on hedges, net of tax</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719"/>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Amounts reclassified from AOCI to net income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Deconsolidation of variable interest entity</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left="719"/>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w w:val="91"/>
              </w:rPr>
              <w:t>(76)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20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Cash Flow</w:t>
            </w:r>
          </w:p>
        </w:tc>
        <w:tc>
          <w:tcPr>
            <w:tcW w:w="12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Defined Benefit</w:t>
            </w: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Less: AOCI</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AOCI attributable</w:t>
            </w:r>
          </w:p>
        </w:tc>
        <w:tc>
          <w:tcPr>
            <w:tcW w:w="0" w:type="dxa"/>
            <w:vAlign w:val="bottom"/>
          </w:tcPr>
          <w:p>
            <w:pPr>
              <w:spacing w:after="0"/>
              <w:rPr>
                <w:sz w:val="1"/>
                <w:szCs w:val="1"/>
                <w:color w:val="auto"/>
              </w:rPr>
            </w:pPr>
          </w:p>
        </w:tc>
      </w:tr>
      <w:tr>
        <w:trPr>
          <w:trHeight w:val="162"/>
        </w:trPr>
        <w:tc>
          <w:tcPr>
            <w:tcW w:w="37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attributable to</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2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Hedges</w:t>
            </w: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Plan</w:t>
            </w:r>
          </w:p>
        </w:tc>
        <w:tc>
          <w:tcPr>
            <w:tcW w:w="17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noncontrolling interest</w:t>
            </w:r>
          </w:p>
        </w:tc>
        <w:tc>
          <w:tcPr>
            <w:tcW w:w="280" w:type="dxa"/>
            <w:vAlign w:val="bottom"/>
          </w:tcPr>
          <w:p>
            <w:pPr>
              <w:spacing w:after="0"/>
              <w:rPr>
                <w:sz w:val="18"/>
                <w:szCs w:val="18"/>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b w:val="1"/>
                <w:bCs w:val="1"/>
                <w:color w:val="auto"/>
              </w:rPr>
              <w:t>to GXO</w:t>
            </w:r>
          </w:p>
        </w:tc>
        <w:tc>
          <w:tcPr>
            <w:tcW w:w="0" w:type="dxa"/>
            <w:vAlign w:val="bottom"/>
          </w:tcPr>
          <w:p>
            <w:pPr>
              <w:spacing w:after="0"/>
              <w:rPr>
                <w:sz w:val="1"/>
                <w:szCs w:val="1"/>
                <w:color w:val="auto"/>
              </w:rPr>
            </w:pPr>
          </w:p>
        </w:tc>
      </w:tr>
      <w:tr>
        <w:trPr>
          <w:trHeight w:val="212"/>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1"/>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Unrealized loss, net of tax</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to net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Transfers to XPO, net of tax</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Cash Flow</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Defined Benefit</w:t>
            </w: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Less: AOCI</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AOCI attributable</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attributable to</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Hedges</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Plan</w:t>
            </w:r>
          </w:p>
        </w:tc>
        <w:tc>
          <w:tcPr>
            <w:tcW w:w="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noncontrolling interest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 GXO</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Unrealized loss, net of tax</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ind w:left="60"/>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to net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1"/>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Transfers to (from) XPO, net of tax</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is involved and will continue to be involved, in numerous legal proceedings arising out of the conduct of its business. These proceedings may include personal injury claims arising from the handling and transportation of goods, contractual disputes and employment-related claims, including alleged violations of wage and hour laws.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incurred related to these matters are expensed as incurred.</w:t>
      </w:r>
    </w:p>
    <w:p>
      <w:pPr>
        <w:spacing w:after="0" w:line="2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should be read in conjunction with the audited consolidated financial statements and notes thereto included in the Company’s Annual Report on Form 10-K for the fiscal year ended December 31, 2021, as filed with the SEC on February 17, 2022 (the “2021 Form 10-K”), and the unaudited condensed consolidated financial statements and related notes thereto included elsewhere in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GXO Logistics, Inc., together with its subsidiaries (“GXO,” the “Company” or “we”), is the largest pure-play contract logistics provider in the world and a foremost innovator in an industry propelled by strong secular tailwinds. Our customers rely on us to move their goods with high efficiency through their supply chains from the moment inbound goods arrive at our logistics sites,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21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business model is asset-light and historically resilient in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and may cover management costs, while the variable component is determined based on expected volumes and associated labor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technology to manage advanced automation, labor productivity, safety and the complex flow of goods within sophisticated logistics environments. 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led to many of our key customer relationships extending for years and expanding in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The Separation</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2, 2021, we completed the separation from XPO Logistics, Inc. (“XPO”) (the “Separation”). Prior to the Separation, the Company’s financial statements were prepared on a standalone combined basis and were derived from the consolidated financial statements and accounting records of XPO. On August 2, 2021, the Company became a standalone publicly traded company, and its financial statements post-Separation are prepared on a consolidated basis. The combined consolidated financial statements for all periods presented prior to the Separation are now also referred to as “Condensed Consolidated Financial Statements” and have been prepared in accordance with generally accepted accounting principles in the United States of America (“GAAP”).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Prior to the Separation, the Company’s historical assets and liabilities presented were wholly owned by XPO and were reflected on a historical cost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Separation, the Company’s assets and liabilities were transferred to the Company on a carryover basis.</w:t>
      </w:r>
    </w:p>
    <w:p>
      <w:pPr>
        <w:spacing w:after="0" w:line="2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the Separation, the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proportional adjusted earnings before interest, taxes, depreciation and amortization, which include adjustments for transaction and integration costs, as well as restructuring costs and other adjustments, or headcount. The majority of these allocated costs is recorded within Selling, general and administrative expense; Depreciation and amortization expense; and Transaction and integration costs in the Condensed Consolidated Statements of Operations.</w:t>
      </w:r>
    </w:p>
    <w:p>
      <w:pPr>
        <w:spacing w:after="0" w:line="19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Company’s Condensed Consolidated Financial Statements include the accounts of GXO and its majority-owned subsidiaries and variable interest entities of which the Company is the primary beneficiary. The Company has eliminated intercompany accounts and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have a single reportable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Clipper Acquisition</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24, 2022, the Company completed the acquisition of Clipper Logistics plc (“Clipper”), an omnichannel retail logistics specialist based in Leeds, England (the “Clipper Acquisition”). The Company acquired Clipper for $1,103 million, consisting of $900 million in cash and the issuance of 3,749,266 shares of GXO common stock having a value of $203 million. The Clipper Acquisition was subject to review by the Competition and Markets Authority in the United Kingdom (the “CMA”). On October 4, 2022, the CMA approved the Clipper Acquisition.</w:t>
      </w:r>
    </w:p>
    <w:p>
      <w:pPr>
        <w:spacing w:after="0" w:line="21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connection with the Clipper Acquisition, (i) the Company and Clipper entered into a Cooperation Agreement; (ii) the Company entered into a Delayed Draw Term Loan; (iii) the Company entered into a Five-Year Term Loan; and (iv) the Company terminated its Bridge Term Loan. For additional information regarding the financing agreements entered into in connection with the Clipper Acquisition, see Note 7. Debt and Financing Arrangements.</w:t>
      </w:r>
    </w:p>
    <w:p>
      <w:pPr>
        <w:spacing w:after="0" w:line="17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included Clipper’s results of operations from the date of acquisition. For the three and nine months ended September 30, 2022, the Company recorded $239 million and $319 million of revenue, respectively, and $— million and $1 million of income before income taxes,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w w:val="91"/>
              </w:rPr>
              <w:t>Three Months Ended September 30,</w:t>
            </w:r>
          </w:p>
        </w:tc>
        <w:tc>
          <w:tcPr>
            <w:tcW w:w="1340" w:type="dxa"/>
            <w:vAlign w:val="bottom"/>
            <w:tcBorders>
              <w:bottom w:val="single" w:sz="8" w:color="auto"/>
            </w:tcBorders>
          </w:tcPr>
          <w:p>
            <w:pPr>
              <w:spacing w:after="0"/>
              <w:rPr>
                <w:sz w:val="18"/>
                <w:szCs w:val="18"/>
                <w:color w:val="auto"/>
              </w:rPr>
            </w:pPr>
          </w:p>
        </w:tc>
      </w:tr>
      <w:tr>
        <w:trPr>
          <w:trHeight w:val="213"/>
        </w:trPr>
        <w:tc>
          <w:tcPr>
            <w:tcW w:w="6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Direct operating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Transaction and integration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Restructuring costs and other</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2"/>
        </w:trPr>
        <w:tc>
          <w:tcPr>
            <w:tcW w:w="6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Other income,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55 %</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6"/>
        </w:trPr>
        <w:tc>
          <w:tcPr>
            <w:tcW w:w="60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7"/>
        </w:trPr>
        <w:tc>
          <w:tcPr>
            <w:tcW w:w="60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
        </w:trPr>
        <w:tc>
          <w:tcPr>
            <w:tcW w:w="5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with the Three Months Ended September 30, 2021</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for the three months ended September 30, 2022 increased by 16%, or $313 million, to $2.3 billion, compared with $2.0 billion for the same period in 2021. Our North America, Asia and Pacific operations and European operations reported growth of 18% and 15%, respectively. The Clipper Acquisition contributed 16% to our European revenue and 10% to total revenue. Foreign currency movements decreased revenue by approximately 11% for the three months ended September 30, 2022.</w:t>
      </w:r>
    </w:p>
    <w:p>
      <w:pPr>
        <w:spacing w:after="0" w:line="21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Direct operating expenses comprise both fixed and variable expenses and consist of operating costs related to our logistics facilities, including personnel costs and facility and equipment expenses, such as rent, utilities, equipment maintenance and repair, transportation costs, costs of materials and supplies, and information technology expenses. Direct operating expense for the three months ended September 30, 2022 was $1.9 billion, or 82% of revenue, compared with $1.7 billion, or 84% of revenue, for the same period in 2021. For the three months ended September 30, 2022, direct operating expenses primarily increased due to higher personnel and temporary labor costs of $131 million, higher facilities and transportation costs of $76 million and higher costs of materials and supplies of $16 million, these increases are mainly driven by the Clipper Acquisition.</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general and administrative expense (“SG&amp;A”) primarily consists of salary and benefits for executive and administrative functions, professional fees and legal costs. SG&amp;A for the three months ended September 30, 2022 increased by $56 million, to $227 million, compared with $171 million for the same period in 2021. SG&amp;A for the three months ended September 30, 2022 increased compared with the same prior year period due to higher personnel costs, primarily for certain administrative functions and the Clipper Acquisition.</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for the three months ended September 30, 2022 was $89 million, compared with $85 million for the same period in 2021. Depreciation and amortization expense included amortization of intangible assets of $21 million and $16 million for the three months ended September 30, 2022 and 2021, respectively. The increase was primarily due to higher depreciation and amortization from the Clipper Acquisition, partially offset by lower depreciation as a result of contract modifications in the prior year.</w:t>
      </w:r>
    </w:p>
    <w:p>
      <w:pPr>
        <w:spacing w:after="0" w:line="21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Transaction and integration costs for the three months ended September 30, 2022 were $14 million, primarily related to the Clipper Acquisition and rebranding as a result of the Separation. Transaction and integration costs for the three months ended September 30, 2021 were $29 million, primarily related to the Separation.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and other for the three months ended September 30, 2022 and 2021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ind w:right="40"/>
        <w:spacing w:after="0" w:line="259" w:lineRule="auto"/>
        <w:rPr>
          <w:sz w:val="20"/>
          <w:szCs w:val="20"/>
          <w:color w:val="auto"/>
        </w:rPr>
      </w:pPr>
      <w:r>
        <w:rPr>
          <w:rFonts w:ascii="Arial" w:cs="Arial" w:eastAsia="Arial" w:hAnsi="Arial"/>
          <w:sz w:val="18"/>
          <w:szCs w:val="18"/>
          <w:color w:val="auto"/>
        </w:rPr>
        <w:t>Other income, net consists primarily of foreign exchange gains and losses, including foreign currency contracts, and pension income. Other income, net for the three months ended September 30, 2022 was $17 million compared with $11 million for the same period in 2021. For the three months ended September 30, 2022, the gain on foreign currency contracts was $9 million and pension income was $7 million. For the three months ended September 30, 2021, pension income was $10 million.</w:t>
      </w:r>
    </w:p>
    <w:p>
      <w:pPr>
        <w:spacing w:after="0" w:line="21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Interest expense, net for the three months ended September 30, 2022 was $6 million compared with $5 million for the same period in 2021. For the three months ended September 30, 2022, interest expense primarily related to outstanding debt and capital lease obligations, partially offset by interest income on the cross-currency swap agreements. For the three months ended September 30, 2021, interest expense primarily related to debt issued in connection with the Separation, and related-party debt with XPO before the Separation, partially offset by interest income on the cross-currency swap agreements.</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Income before income taxes for the three months ended September 30, 2022 increased by $41 million, to $83 million, compared with $42 million for the same period in 2021. The increase was primarily due to growth in our business, lower transaction and integration costs, and other income from a pension plan and foreign currency contracts.</w:t>
      </w:r>
    </w:p>
    <w:p>
      <w:pPr>
        <w:spacing w:after="0" w:line="19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Income tax for the three months ended September 30, 2022 was $19 million expense compared with $31 million benefit for the same period in 2021. Our effective tax rate was 22.5% for the three months ended September 30, 2022 compared with (72.5)% for the same period in 2021. The change in our effective tax rate was primarily driven by a discrete tax benefit from the initial recognition of a deferred tax asset in connection with the Separation.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3"/>
              </w:rPr>
              <w:t>Nine Months Ended September 30,</w:t>
            </w:r>
          </w:p>
        </w:tc>
        <w:tc>
          <w:tcPr>
            <w:tcW w:w="1340" w:type="dxa"/>
            <w:vAlign w:val="bottom"/>
            <w:tcBorders>
              <w:bottom w:val="single" w:sz="8" w:color="auto"/>
            </w:tcBorders>
          </w:tcPr>
          <w:p>
            <w:pPr>
              <w:spacing w:after="0"/>
              <w:rPr>
                <w:sz w:val="18"/>
                <w:szCs w:val="18"/>
                <w:color w:val="auto"/>
              </w:rPr>
            </w:pPr>
          </w:p>
        </w:tc>
      </w:tr>
      <w:tr>
        <w:trPr>
          <w:trHeight w:val="213"/>
        </w:trPr>
        <w:tc>
          <w:tcPr>
            <w:tcW w:w="6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Direct operating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Transaction and integration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Restructuring costs and 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Other income,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06"/>
        </w:trPr>
        <w:tc>
          <w:tcPr>
            <w:tcW w:w="60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60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r>
      <w:tr>
        <w:trPr>
          <w:trHeight w:val="24"/>
        </w:trPr>
        <w:tc>
          <w:tcPr>
            <w:tcW w:w="5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with the Nine Months Ended September 30, 2021</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for the nine months ended September 30, 2022 increased by 15%, or $848 million, to $6.5 billion, compared with $5.7 billion for the same period in 2021. For the nine months ended September 30, 2022, our North America, Asia and Pacific operations and European operations reported growth of 18% and 13%, respectively. The Clipper Acquisition contributed 7% to European revenue and 5% to total revenue. Foreign currency movements decreased revenue by approximately 8% for the nine months ended September 30, 2022.</w:t>
      </w:r>
    </w:p>
    <w:p>
      <w:pPr>
        <w:spacing w:after="0" w:line="21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Direct operating expenses comprise both fixed and variable expenses and consist of operating costs related to our logistics facilities, including personnel costs and facility and equipment expenses, such as rent, utilities, equipment maintenance and repair, transportation costs, costs of materials and supplies and information technology expenses. Direct operating expense for the nine months ended September 30, 2022 was $5.4 billion, or 83% of revenue, compared with $4.7 billion, or 83% of revenue for the same period in 2021. For the nine months ended September 30, 2022, direct operating expenses primarily increased due to higher personnel and temporary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expenses of $457 million, higher facilities and transportation costs of $171 million, and higher costs of materials and supplies of $43 million.</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SG&amp;A primarily consists of salary and benefits for executive and administrative functions, professional fees and legal costs. SG&amp;A for the nine months ended September 30, 2022 increased by $118 million, to $637 million, compared with $519 million for the same period in 2021. SG&amp;A for the nine months increased compared with the same prior year period due to higher personnel costs, primarily for certain administrative functions.</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Depreciation and amortization expense for the nine months ended September 30, 2022 was $242 million, compared with $259 million for the same period in 2021. Depreciation and amortization expense included amortization of intangible assets of $48 million and $44 million for the nine months ended September 30, 2022 and 2021, respectively. The decrease was primarily a result of $15 million allocated corporate charges from XPO before the Separation in the prior year and lower depreciation as a result of contract modifications in the prior year, partially offset by higher depreciation and amortization from the Clipper Acquisition.</w:t>
      </w:r>
    </w:p>
    <w:p>
      <w:pPr>
        <w:spacing w:after="0" w:line="21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Transaction and integration costs for the nine months ended September 30, 2022 were $57 million, primarily related to the Clipper Acquisition and rebranding as a result of the Separation. Transaction and integration costs for the nine months ended September 30, 2021 were $82 million, primarily related to the Separation.</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Restructuring costs and other for the nine months ended September 30, 2022 were $14 million. For the nine months ended September 30, 2022, restructuring costs and other included $8 million related to the deconsolidation of a joint venture and $6 million related to severance costs. Restructuring costs and other for the nine months ended September 30, 2021 were $5 million and related to severance costs.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income, net consists primarily of foreign exchange gains and losses, including foreign currency contracts, and pension income. Other income, net for the nine months ended September 30, 2022 was $56 million compared with $11 million for the same period in 2021. For the nine months ended September 30, 2022, the gain on foreign currency contracts was $33 million and pension income was $25 million. For the nine months ended September 30, 2021, pension income was $10 million.</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expense, net for the nine months ended September 30, 2022 was $19 million compared with $16 million for the same period in 2021. For the nine months ended September 30, 2022, interest expense primarily related to outstanding debt and capital lease obligations, partially offset by interest income on the cross-currency swap agreements. For the nine months ended September 30, 2021, interest expense primarily related to debt issued in connection with the Separation, related-party debt with XPO before the Separation, and capital lease obligations, partially offset by interest income on the cross-currency swap agreements.</w:t>
      </w:r>
    </w:p>
    <w:p>
      <w:pPr>
        <w:spacing w:after="0" w:line="21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Income before income taxes for the nine months ended September 30, 2022 increased by $122 million, to $205 million, compared with $83 million for the same period in 2021. The increase was primarily due to growth in our business, lower transaction and integration costs, and other income from a pension plan and foreign currency contracts, partially offset by restructuring costs due to the deconsolidation of a joint venture.</w:t>
      </w:r>
    </w:p>
    <w:p>
      <w:pPr>
        <w:spacing w:after="0" w:line="17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Income tax for the nine months ended September 30, 2022 was $51 million expense compared with $21 million benefit for the same period in 2021. Our effective tax rate was 24.7% for the nine months ended September 30, 2022 compared with (24.8)% for the same period in 2021. The change in our effective tax rate was primarily driven by a discrete tax benefit from the initial recognition of a deferred tax asset in connection with the Separation and non-deductible transaction cost, offset by deferred true-ups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ability to fund our operations and anticipated capital needs is reliant upon the generation of cash from operations, supplemented as necessary by periodic utilization of our revolving credit facility. Our principal uses of cash in the future will be to fund our operations, working capital needs, capital expenditures, repayment of borrowings and strategic business development transactions. The timing and magnitude of our start-ups can vary and may positively or negatively impact our cash flows.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continually evaluate our liquidity requirements and capital structure in light of our operating needs, growth initiatives and capital resources. We believe that our existing liquidity and sources of capital are sufficient to support our operations over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Five-Year Term Loan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25, 2022, we entered into a five-year unsecured Term Loan (the “Five-Year Term Loan”) that provided a $500 million unsecured term loan facility to fund the Clipper Acquisition. On May 26, 2022, we borrowed $500 million that will mature on May 26, 2027. The loan bears interest at a fluctuating rate per annum equal to, at our option, the alternate base rate or the adjusted Secured Overnight Financing Rate (SOFR), plus an applicable margin based on the Company’s credit ratings.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Delayed Draw Term Loan</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March 22, 2022, we entered into an unsecured delayed draw Term Loan (the “Delayed Draw Term Loan”) that provided a £375 million unsecured term loan facility to fund the Clipper Acquisition. The loan was available to us in U.S. dollars or British pounds sterling. On May 26, 2022, we borrowed in U.S. dollars a $165 million 2-year term loan tranche (the “Two-Year Term Loan”) and a $235 million 3-year term loan tranche (the “Three-Year Term Loan”) that will mature on May 26, 2024, and May 26, 2025, respectively. Loans bear interest at a fluctuating rate per annum equal to, at our option, the alternate base rate or the adjusted SOFR, plus an applicable margin based on the Company’s credit ratings.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Term Loan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28, 2022, we entered into an unsecured Bridge Term Loan (the “Bridge Term Loan”) that provided a £745 million unsecured term loan facility to fund the Clipper Acquisition. The commitments under the Bridge Term Loan were terminated with the effectiveness of the Five-Year Term Loan and the Delayed Draw Term Loan. No amounts were drawn under the Bridge Term 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25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2021, we completed an offering of $800 million aggregate principal amount of notes, consisting of $400 million of notes due 2026 (the “2026 Notes”) and $400 million of notes due 2031 (the “2031 Notes”). The 2026 Notes bear interest at a rate of 1.65% per annum payable semiannually in cash in arrears on January 15 and July 15 of each year, beginning January 15, 2022, and maturing on July 15, 2026. The 2031 Notes bear interest at a rate of 2.65% per annum payable semiannually in cash in arrears on January 15 and July 15 of each year, beginning January 15, 2022, and maturing on July 15, 2031.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2021, we entered into a five-year unsecured multi-currency Revolving Credit Facility (the “Revolving Credit Facility”). The Revolving Credit Facility provides commitments of up to $800 million, of which $60 million is available for the issuance of letters of credit. No amounts were outstanding under the Revolving Credit Facility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Sales of Certain Receivables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sell certain of our trade accounts receivables on a non-recourse basis to third-party financial institutions under various factoring agreements. We also sold certain European trade accounts receivables under a securitization program. In the first quarter of 2022, we terminated our securitization program. We account for these transactions as sales of receivables and present cash proceeds as cash provided by operating activities in the Condensed Consolidated Statements of Cash Flows. We use the sale of certain receivables to help manage our working capital. Information related to the trade receivables sold was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80" w:type="dxa"/>
            <w:vAlign w:val="bottom"/>
          </w:tcPr>
          <w:p>
            <w:pPr>
              <w:spacing w:after="0"/>
              <w:rPr>
                <w:sz w:val="18"/>
                <w:szCs w:val="18"/>
                <w:color w:val="auto"/>
              </w:rPr>
            </w:pPr>
          </w:p>
        </w:tc>
        <w:tc>
          <w:tcPr>
            <w:tcW w:w="22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Factoring agreements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Receivables sold in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132</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Securitization program</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Receivables sold in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r>
      <w:tr>
        <w:trPr>
          <w:trHeight w:val="210"/>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Cash consideration</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1,320</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we were in compliance with the covenants contained in our debt and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and liability balances as of September 30, 2022 and December 31, 2021:</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September 30, 2022</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December 31, 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 Change</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13"/>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Total long-term assets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6,564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9"/>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Total long-term liabilities</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1,380</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54 %</w:t>
            </w:r>
          </w:p>
        </w:tc>
      </w:tr>
    </w:tbl>
    <w:p>
      <w:pPr>
        <w:spacing w:after="0" w:line="3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increase in our assets and liabilities from December 31, 2021 to September 30, 2022 primarily reflects the assets acquired and liabilities assumed, as well as various debt instruments entered into in connection with the Clipper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w:t>
      </w:r>
    </w:p>
    <w:p>
      <w:pPr>
        <w:spacing w:after="0" w:line="25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cash flows from operating, investing and financing activities, as reflected on our Condensed Consolidated Statements of Cash Flows, were summarized as follows:</w:t>
      </w:r>
    </w:p>
    <w:tbl>
      <w:tblPr>
        <w:tblLayout w:type="fixed"/>
        <w:tblInd w:w="4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Nine Months Ended September 30,</w:t>
            </w:r>
          </w:p>
        </w:tc>
        <w:tc>
          <w:tcPr>
            <w:tcW w:w="1340" w:type="dxa"/>
            <w:vAlign w:val="bottom"/>
            <w:tcBorders>
              <w:bottom w:val="single" w:sz="8" w:color="auto"/>
            </w:tcBorders>
          </w:tcPr>
          <w:p>
            <w:pPr>
              <w:spacing w:after="0"/>
              <w:rPr>
                <w:sz w:val="18"/>
                <w:szCs w:val="18"/>
                <w:color w:val="auto"/>
              </w:rPr>
            </w:pPr>
          </w:p>
        </w:tc>
      </w:tr>
      <w:tr>
        <w:trPr>
          <w:trHeight w:val="213"/>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 Change</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3"/>
        </w:trPr>
        <w:tc>
          <w:tcPr>
            <w:tcW w:w="542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(916)</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34"/>
        </w:trPr>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Operating Activities</w:t>
      </w:r>
    </w:p>
    <w:p>
      <w:pPr>
        <w:spacing w:after="0" w:line="2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Cash flows from operating activities for the nine months ended September 30, 2022 increased by $65 million compared with the same period in 2021. The increase was due to $50 million higher net income in 2022 and $39 million non-cash adjustments driven by a deferred tax benefit in 2021, partially offset by a $24 million decrease in working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5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Investing activities used $1,056 million of cash for the nine months ended September 30, 2022, compared with $140 million used for the same period of 2021. During the nine months ended September 30, 2022, we used $874 million, net of cash received, to fund the Clipper Acquisition, used $239 million to purchase property and equipment, received $26 million in proceeds from the settlement of cross-currency swap agreements, excluding accrued interest, and received $22 million from sales of property and equipment. During the nine months ended September 30, 2021, we used $180 million to purchase property and equipment, received $34 million net cash from the Kuehne + Nagel acquisition, and received $8 million from sales of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Financing activities generated $863 million of cash for the nine months ended September 30, 2022, compared with $165 million used for the same period of 2021. The primary sources of cash from financing activities in the nine months ended September 30, 2022, were $898 million in proceeds from long-term debt, net, partially offset by $23 million repayment of debt and finance leases and $12 million in payments for employee taxes on net settlement of equity awards. The primary uses of cash from financing activities in the nine months ended September 30, 2021, were $774 million of net transfers to XPO, $128 million in the purchase of noncontrolling interest, $64 million in repayments of debt and finance leases, and $21 million in repayment of debt related to a trade securitization program, partially offset by $794 million in proceeds from long-term debt.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do not engage in any off-balance sheet financing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contractual cash requirements have not changed materially since the 2021 Form 10-K, except for the new term loan credit agreements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Preparation of our Condensed Consolidated Financial Statements in accordance with GAAP requires us to make estimates and assumptions that affect the reported amounts of certain assets, liabilities, revenues and expenses, as well as related disclosure of contingent assets and liabilities. There have been no material changes to the critical accounting policies and estimates as previously disclosed in Part II, Item 8 of our Annual Report on Form 10-K for the year ended December 31, 2021, and that are hereby incorporated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Information related to new accounting standards is included in Note 1—Basis of Presentation and Significant Accounting Policies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Our long-term debt portfolio, excluding finance leases and other debt, consists of $800 million fixed-rate and $900 million variable-rate loans, complemented by a variable-rate revolving credit facility. We use cross-currency swap agreements to convert $650 million of variable-rate debt from Secured Overnight Financing Rate (“SOFR”) to Euro Interbank Offered Rate (“Euribor”). We also entered into interest rate swap agreements to convert $250 million of variable-rate U.S. dollar (“USD”)-denominated debt into USD-denominated fixed-rate debt. As of September 30, 2022, a hypothetical 1% increase in Euribor would have increased our interest expense by approximately $6 million. For our fixed-rate notes, a 1% increase or decrease in interest rates would have decreased or increased the fair value of our notes by approximately 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 significant proportion of our net assets and income are in non-USD currencies, primarily the Euro (“EUR”) and British pound sterling (“GBP”). We are exposed to currency risk from potential changes in functional currency values of our foreign currency denominated assets, liabilities, and cash flows. Consequently, a depreciation of the EUR or the GBP relative to the USD could have an adverse impact on our financial results.</w:t>
      </w:r>
    </w:p>
    <w:p>
      <w:pPr>
        <w:spacing w:after="0" w:line="17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entered into cross-currency swap agreements to manage our foreign currency exchange risk by effectively converting a portion of the fixed-rate USD-denominated debt, including the interest payments, to fixed-rate EUR-denominated debt and a portion of the floating-rate USD-denominated loans, including the interest payments, to floating-rate EUR-denominated debt. We use foreign currency option contracts to mitigate the risk of a reduction in the value of earnings from our operations that use the EUR or GBP as their functional currency.</w:t>
      </w:r>
    </w:p>
    <w:p>
      <w:pPr>
        <w:spacing w:after="0" w:line="2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September 30, 2022, a uniform 10% strengthening in the value of the USD relative to the EUR would have increased our net assets by approximately $20 million. As of September 30, 2022, a uniform 10% strengthening in the value of the USD relative to the GBP would have decreased our net assets by approximately $30 million. These theoretical calculations assume that an instantaneous, parallel shift in exchange rates occurs, which is not consistent with the history of foreign currency markets.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defined in Rule 13a-15(e) and Rule 15d-15(e) under the Securities Exchange Act of 1934, as amended, as of September 30, 2022. Based on that evaluation, our CEO and CFO concluded that our disclosure controls and procedures were effective as of September 30, 2022, such that the information required to be included in our Securities and Exchange Commission (“SEC”) reports is: (i) recorded, processed, summarized and reported within the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our most recently completed fiscal quarter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7" w:right="5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Note 12—Commitments and Contingencies to the Condensed Consolidated Financial Statements included in this Quarterly Report on Form 10-Q for a description of our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There have been no material changes to the risk factors previously disclosed under “Risk Factors” in the 2021 Form 10-K, except as disclosed under Part II, Item 1A. Risk Factors of our Quarterly Reports on Form 10-Q for the quarter ended March 31, 2022 and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Pursuant to the terms of the Clipper Acquisition, 840 shares of GXO common stock were issued during the quarter ended September 30, 2022 in connection with the exercise of options under a Court-sanctioned scheme of arrangement. These shares were issued in reliance on the exemption from registration provided by Section 3(a)(10) of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or other governmental authority expressly authorized by law to grant such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3"/>
        </w:trPr>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1"/>
                <w:szCs w:val="21"/>
                <w:color w:val="auto"/>
              </w:rPr>
            </w:pPr>
          </w:p>
        </w:tc>
        <w:tc>
          <w:tcPr>
            <w:tcW w:w="9880" w:type="dxa"/>
            <w:vAlign w:val="bottom"/>
            <w:gridSpan w:val="8"/>
          </w:tcPr>
          <w:p>
            <w:pPr>
              <w:ind w:left="4480"/>
              <w:spacing w:after="0"/>
              <w:rPr>
                <w:sz w:val="20"/>
                <w:szCs w:val="20"/>
                <w:color w:val="auto"/>
              </w:rPr>
            </w:pPr>
            <w:r>
              <w:rPr>
                <w:rFonts w:ascii="Arial" w:cs="Arial" w:eastAsia="Arial" w:hAnsi="Arial"/>
                <w:sz w:val="18"/>
                <w:szCs w:val="18"/>
                <w:b w:val="1"/>
                <w:bCs w:val="1"/>
                <w:color w:val="auto"/>
              </w:rPr>
              <w:t>Description</w:t>
            </w:r>
          </w:p>
        </w:tc>
      </w:tr>
      <w:tr>
        <w:trPr>
          <w:trHeight w:val="223"/>
        </w:trPr>
        <w:tc>
          <w:tcPr>
            <w:tcW w:w="1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88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0000FF"/>
                <w:w w:val="99"/>
              </w:rPr>
              <w:t>Certification of the Principal Executive Officer pursuant to Section 302 of the Sarbanes-Oxley Act of 2002, with respect to the</w:t>
            </w: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registrant’s Quarterly Report on Form 10-Q for the fiscal quarter ended September 30, 2022.</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77"/>
        </w:trPr>
        <w:tc>
          <w:tcPr>
            <w:tcW w:w="12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0000FF"/>
              </w:rPr>
              <w:t>Certification of the Principal Financial Officer pursuant to Section 302 of the Sarbanes-Oxley Act of 2002, with respect to the</w:t>
            </w: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registrant’s Quarterly Report on Form 10-Q for the fiscal quarter ended September 30, 2022.</w:t>
            </w:r>
          </w:p>
        </w:tc>
        <w:tc>
          <w:tcPr>
            <w:tcW w:w="23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r>
      <w:tr>
        <w:trPr>
          <w:trHeight w:val="277"/>
        </w:trPr>
        <w:tc>
          <w:tcPr>
            <w:tcW w:w="122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0000FF"/>
                <w:w w:val="99"/>
              </w:rPr>
              <w:t>Certification of the Principal Executive Officer Pursuant to Section 906 of the Sarbanes-Oxley Act of 2002, with respect to the</w:t>
            </w: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0"/>
              </w:rPr>
              <w:t>registrant’s Quarterly Report on Form 10-Q for the fiscal quarter ended September 30, 2022.</w:t>
            </w:r>
          </w:p>
        </w:tc>
        <w:tc>
          <w:tcPr>
            <w:tcW w:w="2460" w:type="dxa"/>
            <w:vAlign w:val="bottom"/>
            <w:tcBorders>
              <w:top w:val="single" w:sz="8" w:color="0000FF"/>
            </w:tcBorders>
            <w:gridSpan w:val="5"/>
          </w:tcPr>
          <w:p>
            <w:pPr>
              <w:spacing w:after="0"/>
              <w:rPr>
                <w:sz w:val="13"/>
                <w:szCs w:val="13"/>
                <w:color w:val="auto"/>
              </w:rPr>
            </w:pPr>
          </w:p>
        </w:tc>
        <w:tc>
          <w:tcPr>
            <w:tcW w:w="740" w:type="dxa"/>
            <w:vAlign w:val="bottom"/>
          </w:tcPr>
          <w:p>
            <w:pPr>
              <w:spacing w:after="0"/>
              <w:rPr>
                <w:sz w:val="13"/>
                <w:szCs w:val="13"/>
                <w:color w:val="auto"/>
              </w:rPr>
            </w:pPr>
          </w:p>
        </w:tc>
      </w:tr>
      <w:tr>
        <w:trPr>
          <w:trHeight w:val="277"/>
        </w:trPr>
        <w:tc>
          <w:tcPr>
            <w:tcW w:w="122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0000FF"/>
                <w:w w:val="99"/>
              </w:rPr>
              <w:t>Certification of the Principal Financial Officer Pursuant to Section 906 of the Sarbanes-Oxley Act of 2002, with respect to the</w:t>
            </w: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registrant’s Quarterly Report on Form 10-Q for the fiscal quarter ended September 30, 2022.</w:t>
            </w:r>
          </w:p>
        </w:tc>
        <w:tc>
          <w:tcPr>
            <w:tcW w:w="800" w:type="dxa"/>
            <w:vAlign w:val="bottom"/>
            <w:gridSpan w:val="3"/>
          </w:tcPr>
          <w:p>
            <w:pPr>
              <w:spacing w:after="0"/>
              <w:rPr>
                <w:sz w:val="13"/>
                <w:szCs w:val="13"/>
                <w:color w:val="auto"/>
              </w:rPr>
            </w:pPr>
          </w:p>
        </w:tc>
      </w:tr>
      <w:tr>
        <w:trPr>
          <w:trHeight w:val="318"/>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66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Inline XBRL Instance Document.</w:t>
            </w:r>
          </w:p>
        </w:tc>
        <w:tc>
          <w:tcPr>
            <w:tcW w:w="3220" w:type="dxa"/>
            <w:vAlign w:val="bottom"/>
            <w:gridSpan w:val="7"/>
          </w:tcPr>
          <w:p>
            <w:pPr>
              <w:spacing w:after="0"/>
              <w:rPr>
                <w:sz w:val="24"/>
                <w:szCs w:val="24"/>
                <w:color w:val="auto"/>
              </w:rPr>
            </w:pPr>
          </w:p>
        </w:tc>
      </w:tr>
      <w:tr>
        <w:trPr>
          <w:trHeight w:val="283"/>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w:t>
            </w:r>
          </w:p>
        </w:tc>
      </w:tr>
      <w:tr>
        <w:trPr>
          <w:trHeight w:val="283"/>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83"/>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83"/>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84"/>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83"/>
        </w:trPr>
        <w:tc>
          <w:tcPr>
            <w:tcW w:w="12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53" w:lineRule="exact"/>
        <w:rPr>
          <w:sz w:val="20"/>
          <w:szCs w:val="20"/>
          <w:color w:val="auto"/>
        </w:rPr>
      </w:pPr>
    </w:p>
    <w:p>
      <w:pPr>
        <w:ind w:left="1360" w:hanging="1334"/>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360" w:hanging="1334"/>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GXO Logistics, Inc.</w:t>
      </w:r>
    </w:p>
    <w:p>
      <w:pPr>
        <w:spacing w:after="0" w:line="297" w:lineRule="exact"/>
        <w:rPr>
          <w:sz w:val="20"/>
          <w:szCs w:val="20"/>
          <w:color w:val="auto"/>
        </w:rPr>
      </w:pPr>
    </w:p>
    <w:p>
      <w:pPr>
        <w:ind w:left="20"/>
        <w:spacing w:after="0"/>
        <w:tabs>
          <w:tab w:leader="none" w:pos="5560" w:val="left"/>
          <w:tab w:leader="none" w:pos="63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111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Malcolm Wilson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20"/>
        <w:spacing w:after="0"/>
        <w:tabs>
          <w:tab w:leader="none" w:pos="5560" w:val="left"/>
          <w:tab w:leader="none" w:pos="63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111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Baris Oran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417"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 Malcolm Wilson, certify that:</w:t>
      </w:r>
    </w:p>
    <w:p>
      <w:pPr>
        <w:spacing w:after="0" w:line="154" w:lineRule="exact"/>
        <w:rPr>
          <w:sz w:val="20"/>
          <w:szCs w:val="20"/>
          <w:color w:val="auto"/>
        </w:rPr>
      </w:pPr>
    </w:p>
    <w:p>
      <w:pPr>
        <w:ind w:left="420" w:hanging="169"/>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2022 of GXO Logistics, Inc.;</w:t>
      </w:r>
    </w:p>
    <w:p>
      <w:pPr>
        <w:spacing w:after="0" w:line="153"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5"/>
          <w:szCs w:val="15"/>
          <w:color w:val="auto"/>
        </w:rPr>
      </w:pPr>
    </w:p>
    <w:p>
      <w:pPr>
        <w:ind w:left="420" w:right="60" w:hanging="169"/>
        <w:spacing w:after="0" w:line="328"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6"/>
          <w:szCs w:val="16"/>
          <w:color w:val="auto"/>
        </w:rPr>
      </w:pPr>
    </w:p>
    <w:p>
      <w:pPr>
        <w:ind w:left="420" w:hanging="169"/>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68"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5" w:lineRule="exact"/>
        <w:rPr>
          <w:rFonts w:ascii="Arial" w:cs="Arial" w:eastAsia="Arial" w:hAnsi="Arial"/>
          <w:sz w:val="14"/>
          <w:szCs w:val="14"/>
          <w:color w:val="auto"/>
        </w:rPr>
      </w:pPr>
    </w:p>
    <w:p>
      <w:pPr>
        <w:ind w:left="1060" w:hanging="242"/>
        <w:spacing w:after="0" w:line="305" w:lineRule="auto"/>
        <w:tabs>
          <w:tab w:leader="none" w:pos="1037"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6"/>
          <w:szCs w:val="16"/>
          <w:color w:val="auto"/>
        </w:rPr>
      </w:pPr>
    </w:p>
    <w:p>
      <w:pPr>
        <w:ind w:left="1060" w:right="160" w:hanging="242"/>
        <w:spacing w:after="0" w:line="305" w:lineRule="auto"/>
        <w:tabs>
          <w:tab w:leader="none" w:pos="1046"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6"/>
          <w:szCs w:val="16"/>
          <w:color w:val="auto"/>
        </w:rPr>
      </w:pPr>
    </w:p>
    <w:p>
      <w:pPr>
        <w:ind w:left="1040" w:hanging="222"/>
        <w:spacing w:after="0"/>
        <w:tabs>
          <w:tab w:leader="none" w:pos="10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w:t>
      </w:r>
    </w:p>
    <w:p>
      <w:pPr>
        <w:spacing w:after="0" w:line="68" w:lineRule="exact"/>
        <w:rPr>
          <w:rFonts w:ascii="Arial" w:cs="Arial" w:eastAsia="Arial" w:hAnsi="Arial"/>
          <w:sz w:val="14"/>
          <w:szCs w:val="14"/>
          <w:color w:val="auto"/>
        </w:rPr>
      </w:pPr>
    </w:p>
    <w:p>
      <w:pPr>
        <w:ind w:left="1060" w:right="180"/>
        <w:spacing w:after="0" w:line="310" w:lineRule="auto"/>
        <w:rPr>
          <w:rFonts w:ascii="Arial" w:cs="Arial" w:eastAsia="Arial" w:hAnsi="Arial"/>
          <w:sz w:val="14"/>
          <w:szCs w:val="14"/>
          <w:color w:val="auto"/>
        </w:rPr>
      </w:pPr>
      <w:r>
        <w:rPr>
          <w:rFonts w:ascii="Arial" w:cs="Arial" w:eastAsia="Arial" w:hAnsi="Arial"/>
          <w:sz w:val="16"/>
          <w:szCs w:val="16"/>
          <w:color w:val="auto"/>
        </w:rPr>
        <w:t>(the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4"/>
          <w:szCs w:val="14"/>
          <w:color w:val="auto"/>
        </w:rPr>
      </w:pPr>
    </w:p>
    <w:p>
      <w:pPr>
        <w:ind w:left="420" w:right="380" w:hanging="169"/>
        <w:spacing w:after="0" w:line="328"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6"/>
          <w:szCs w:val="16"/>
          <w:color w:val="auto"/>
        </w:rPr>
      </w:pPr>
    </w:p>
    <w:p>
      <w:pPr>
        <w:ind w:left="1060" w:right="340" w:hanging="242"/>
        <w:spacing w:after="0" w:line="328" w:lineRule="auto"/>
        <w:tabs>
          <w:tab w:leader="none" w:pos="103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Malcolm Wilson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9, 2022</w:t>
      </w:r>
    </w:p>
    <w:p>
      <w:pPr>
        <w:sectPr>
          <w:pgSz w:w="11900" w:h="16838" w:orient="portrait"/>
          <w:cols w:equalWidth="0" w:num="1">
            <w:col w:w="11240"/>
          </w:cols>
          <w:pgMar w:left="320" w:top="143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 Baris Oran, certify that:</w:t>
      </w:r>
    </w:p>
    <w:p>
      <w:pPr>
        <w:spacing w:after="0" w:line="154" w:lineRule="exact"/>
        <w:rPr>
          <w:sz w:val="20"/>
          <w:szCs w:val="20"/>
          <w:color w:val="auto"/>
        </w:rPr>
      </w:pPr>
    </w:p>
    <w:p>
      <w:pPr>
        <w:ind w:left="420" w:hanging="169"/>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2022 of GXO Logistics, Inc.;</w:t>
      </w:r>
    </w:p>
    <w:p>
      <w:pPr>
        <w:spacing w:after="0" w:line="153"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5"/>
          <w:szCs w:val="15"/>
          <w:color w:val="auto"/>
        </w:rPr>
      </w:pPr>
    </w:p>
    <w:p>
      <w:pPr>
        <w:ind w:left="420" w:right="60" w:hanging="169"/>
        <w:spacing w:after="0" w:line="328"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6"/>
          <w:szCs w:val="16"/>
          <w:color w:val="auto"/>
        </w:rPr>
      </w:pPr>
    </w:p>
    <w:p>
      <w:pPr>
        <w:ind w:left="420" w:hanging="169"/>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68"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65" w:lineRule="exact"/>
        <w:rPr>
          <w:rFonts w:ascii="Arial" w:cs="Arial" w:eastAsia="Arial" w:hAnsi="Arial"/>
          <w:sz w:val="14"/>
          <w:szCs w:val="14"/>
          <w:color w:val="auto"/>
        </w:rPr>
      </w:pPr>
    </w:p>
    <w:p>
      <w:pPr>
        <w:ind w:left="1060" w:hanging="242"/>
        <w:spacing w:after="0" w:line="305" w:lineRule="auto"/>
        <w:tabs>
          <w:tab w:leader="none" w:pos="1037"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6"/>
          <w:szCs w:val="16"/>
          <w:color w:val="auto"/>
        </w:rPr>
      </w:pPr>
    </w:p>
    <w:p>
      <w:pPr>
        <w:ind w:left="1060" w:right="160" w:hanging="242"/>
        <w:spacing w:after="0" w:line="305" w:lineRule="auto"/>
        <w:tabs>
          <w:tab w:leader="none" w:pos="1046"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6"/>
          <w:szCs w:val="16"/>
          <w:color w:val="auto"/>
        </w:rPr>
      </w:pPr>
    </w:p>
    <w:p>
      <w:pPr>
        <w:ind w:left="1040" w:hanging="222"/>
        <w:spacing w:after="0"/>
        <w:tabs>
          <w:tab w:leader="none" w:pos="10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w:t>
      </w:r>
    </w:p>
    <w:p>
      <w:pPr>
        <w:spacing w:after="0" w:line="68" w:lineRule="exact"/>
        <w:rPr>
          <w:rFonts w:ascii="Arial" w:cs="Arial" w:eastAsia="Arial" w:hAnsi="Arial"/>
          <w:sz w:val="14"/>
          <w:szCs w:val="14"/>
          <w:color w:val="auto"/>
        </w:rPr>
      </w:pPr>
    </w:p>
    <w:p>
      <w:pPr>
        <w:ind w:left="1060" w:right="180"/>
        <w:spacing w:after="0" w:line="310" w:lineRule="auto"/>
        <w:rPr>
          <w:rFonts w:ascii="Arial" w:cs="Arial" w:eastAsia="Arial" w:hAnsi="Arial"/>
          <w:sz w:val="14"/>
          <w:szCs w:val="14"/>
          <w:color w:val="auto"/>
        </w:rPr>
      </w:pPr>
      <w:r>
        <w:rPr>
          <w:rFonts w:ascii="Arial" w:cs="Arial" w:eastAsia="Arial" w:hAnsi="Arial"/>
          <w:sz w:val="16"/>
          <w:szCs w:val="16"/>
          <w:color w:val="auto"/>
        </w:rPr>
        <w:t>(the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4"/>
          <w:szCs w:val="14"/>
          <w:color w:val="auto"/>
        </w:rPr>
      </w:pPr>
    </w:p>
    <w:p>
      <w:pPr>
        <w:ind w:left="420" w:right="380" w:hanging="169"/>
        <w:spacing w:after="0" w:line="328"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6"/>
          <w:szCs w:val="16"/>
          <w:color w:val="auto"/>
        </w:rPr>
      </w:pPr>
    </w:p>
    <w:p>
      <w:pPr>
        <w:ind w:left="1060" w:right="340" w:hanging="242"/>
        <w:spacing w:after="0" w:line="328" w:lineRule="auto"/>
        <w:tabs>
          <w:tab w:leader="none" w:pos="103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Baris Oran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9, 2022</w:t>
      </w:r>
    </w:p>
    <w:p>
      <w:pPr>
        <w:sectPr>
          <w:pgSz w:w="11900" w:h="16838" w:orient="portrait"/>
          <w:cols w:equalWidth="0" w:num="1">
            <w:col w:w="11240"/>
          </w:cols>
          <w:pgMar w:left="320" w:top="143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40" w:firstLine="445"/>
        <w:spacing w:after="0" w:line="296"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GXO Logistics, Inc. (the “Company”), hereby certify, based on my knowledge, that the Quarterly Report on Form 10-Q of the Company for the quarter ended September 30,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Malcolm Wilson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2022</w:t>
      </w:r>
    </w:p>
    <w:p>
      <w:pPr>
        <w:sectPr>
          <w:pgSz w:w="11900" w:h="16838" w:orient="portrait"/>
          <w:cols w:equalWidth="0" w:num="1">
            <w:col w:w="11240"/>
          </w:cols>
          <w:pgMar w:left="320" w:top="143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40" w:firstLine="445"/>
        <w:spacing w:after="0" w:line="296"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GXO Logistics, Inc. (the “Company”), hereby certify, based on my knowledge, that the Quarterly Report on Form 10-Q of the Company for the quarter ended September 30,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Baris Oran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2022</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2022-11-09T15:34:00Z</dcterms:created>
  <dcterms:modified xsi:type="dcterms:W3CDTF">2022-11-09T15:34:00Z</dcterms:modified>
</cp:coreProperties>
</file>